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R4-2501883</w:t>
      </w:r>
      <w:bookmarkStart w:id="16" w:name="_GoBack"/>
      <w:bookmarkEnd w:id="16"/>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5FAE473C">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7.23.1</w:t>
      </w:r>
    </w:p>
    <w:p w14:paraId="078508F5">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6148FB46">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14:paraId="50F64BA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AD904E3">
      <w:pPr>
        <w:pStyle w:val="57"/>
        <w:tabs>
          <w:tab w:val="left" w:pos="567"/>
          <w:tab w:val="clear" w:pos="1985"/>
        </w:tabs>
        <w:adjustRightInd w:val="0"/>
        <w:ind w:left="510" w:hanging="510"/>
      </w:pPr>
      <w:r>
        <w:t>Introduction</w:t>
      </w:r>
    </w:p>
    <w:p w14:paraId="794851EC">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533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4C4B514">
            <w:pPr>
              <w:pStyle w:val="6"/>
              <w:numPr>
                <w:ilvl w:val="0"/>
                <w:numId w:val="0"/>
              </w:numPr>
              <w:suppressLineNumbers w:val="0"/>
              <w:spacing w:beforeAutospacing="0" w:afterAutospacing="0"/>
              <w:ind w:left="864" w:right="0" w:hanging="864"/>
              <w:rPr>
                <w:rFonts w:hint="default"/>
                <w:lang w:val="en-US"/>
              </w:rPr>
            </w:pPr>
            <w:r>
              <w:rPr>
                <w:rFonts w:hint="default"/>
                <w:lang w:val="en-US"/>
              </w:rPr>
              <w:t xml:space="preserve">Issue 1-1-1: </w:t>
            </w:r>
            <w:bookmarkStart w:id="1" w:name="_Hlk179476888"/>
            <w:r>
              <w:rPr>
                <w:rFonts w:hint="default"/>
                <w:lang w:val="en-US"/>
              </w:rPr>
              <w:t>Minimum channel bandwidth for SBFD</w:t>
            </w:r>
            <w:bookmarkEnd w:id="1"/>
            <w:r>
              <w:rPr>
                <w:rFonts w:hint="default"/>
                <w:lang w:val="en-US"/>
              </w:rPr>
              <w:t xml:space="preserve"> (X MHz)</w:t>
            </w:r>
          </w:p>
          <w:p w14:paraId="224293FE">
            <w:pPr>
              <w:keepNext w:val="0"/>
              <w:keepLines w:val="0"/>
              <w:suppressLineNumbers w:val="0"/>
              <w:spacing w:before="0" w:beforeAutospacing="0" w:after="120" w:afterAutospacing="0" w:line="259" w:lineRule="auto"/>
              <w:ind w:left="0" w:right="0"/>
              <w:rPr>
                <w:rFonts w:hint="default"/>
                <w:highlight w:val="green"/>
                <w:lang w:val="en-US"/>
              </w:rPr>
            </w:pPr>
            <w:bookmarkStart w:id="2" w:name="_Hlk179978728"/>
            <w:r>
              <w:rPr>
                <w:rFonts w:hint="default"/>
                <w:highlight w:val="green"/>
                <w:lang w:val="en-US"/>
              </w:rPr>
              <w:t xml:space="preserve">Agreement: </w:t>
            </w:r>
          </w:p>
          <w:p w14:paraId="2A56A8F7">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bookmarkStart w:id="3" w:name="_Hlk179896605"/>
            <w:r>
              <w:rPr>
                <w:rFonts w:hint="default" w:eastAsia="宋体"/>
                <w:szCs w:val="24"/>
                <w:lang w:eastAsia="zh-CN"/>
              </w:rPr>
              <w:t xml:space="preserve">Declaration-based method, and SBFD is possible to be used on any TDD band, with the following principle: </w:t>
            </w:r>
          </w:p>
          <w:p w14:paraId="62F73E31">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bandwidth(s) is declared by gNB vendors</w:t>
            </w:r>
          </w:p>
          <w:p w14:paraId="3F0134D2">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bandwidth(s) is from existing channel bandwidth defined in TS 38.104</w:t>
            </w:r>
          </w:p>
          <w:p w14:paraId="3D966C36">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 shall be no less than X MHz</w:t>
            </w:r>
          </w:p>
          <w:p w14:paraId="317568C5">
            <w:pPr>
              <w:pStyle w:val="36"/>
              <w:keepNext w:val="0"/>
              <w:keepLines w:val="0"/>
              <w:numPr>
                <w:ilvl w:val="2"/>
                <w:numId w:val="2"/>
              </w:numPr>
              <w:suppressLineNumbers w:val="0"/>
              <w:tabs>
                <w:tab w:val="left" w:pos="5954"/>
              </w:tabs>
              <w:overflowPunct/>
              <w:autoSpaceDE/>
              <w:autoSpaceDN/>
              <w:adjustRightInd/>
              <w:spacing w:before="0" w:beforeAutospacing="0" w:after="0" w:afterAutospacing="0"/>
              <w:ind w:right="0" w:firstLineChars="0"/>
              <w:textAlignment w:val="auto"/>
              <w:rPr>
                <w:rFonts w:hint="default" w:eastAsia="宋体"/>
                <w:szCs w:val="24"/>
                <w:lang w:eastAsia="zh-CN"/>
              </w:rPr>
            </w:pPr>
            <w:r>
              <w:rPr>
                <w:rFonts w:hint="eastAsia" w:eastAsia="宋体"/>
                <w:szCs w:val="24"/>
                <w:lang w:eastAsia="zh-CN"/>
              </w:rPr>
              <w:t>X</w:t>
            </w:r>
            <w:r>
              <w:rPr>
                <w:rFonts w:hint="default" w:eastAsia="宋体"/>
                <w:szCs w:val="24"/>
                <w:lang w:eastAsia="zh-CN"/>
              </w:rPr>
              <w:t xml:space="preserve"> = 40 as the default value</w:t>
            </w:r>
          </w:p>
          <w:p w14:paraId="7BE736D5">
            <w:pPr>
              <w:pStyle w:val="36"/>
              <w:keepNext w:val="0"/>
              <w:keepLines w:val="0"/>
              <w:numPr>
                <w:ilvl w:val="3"/>
                <w:numId w:val="2"/>
              </w:numPr>
              <w:suppressLineNumbers w:val="0"/>
              <w:tabs>
                <w:tab w:val="left" w:pos="5954"/>
              </w:tabs>
              <w:overflowPunct/>
              <w:autoSpaceDE/>
              <w:autoSpaceDN/>
              <w:adjustRightInd/>
              <w:spacing w:before="0" w:beforeAutospacing="0" w:after="0" w:afterAutospacing="0"/>
              <w:ind w:right="0" w:firstLineChars="0"/>
              <w:textAlignment w:val="auto"/>
              <w:rPr>
                <w:rFonts w:hint="default" w:eastAsia="宋体"/>
                <w:szCs w:val="24"/>
                <w:lang w:eastAsia="zh-CN"/>
              </w:rPr>
            </w:pPr>
            <w:r>
              <w:rPr>
                <w:rFonts w:hint="default" w:eastAsia="宋体"/>
                <w:szCs w:val="24"/>
                <w:lang w:eastAsia="zh-CN"/>
              </w:rPr>
              <w:t>For band n39, X = 20MHz is used instead.</w:t>
            </w:r>
          </w:p>
          <w:bookmarkEnd w:id="2"/>
          <w:bookmarkEnd w:id="3"/>
          <w:p w14:paraId="7DAD852B">
            <w:pPr>
              <w:keepNext w:val="0"/>
              <w:keepLines w:val="0"/>
              <w:suppressLineNumbers w:val="0"/>
              <w:spacing w:before="0" w:beforeAutospacing="0" w:after="120" w:afterAutospacing="0" w:line="259" w:lineRule="auto"/>
              <w:ind w:left="0" w:right="0"/>
              <w:rPr>
                <w:rFonts w:hint="default"/>
                <w:lang w:val="en-US"/>
              </w:rPr>
            </w:pPr>
          </w:p>
          <w:p w14:paraId="30F49148">
            <w:pPr>
              <w:pStyle w:val="6"/>
              <w:numPr>
                <w:ilvl w:val="0"/>
                <w:numId w:val="0"/>
              </w:numPr>
              <w:suppressLineNumbers w:val="0"/>
              <w:spacing w:beforeAutospacing="0" w:afterAutospacing="0"/>
              <w:ind w:left="864" w:right="0" w:hanging="864"/>
              <w:rPr>
                <w:rFonts w:hint="default"/>
                <w:lang w:val="en-US"/>
              </w:rPr>
            </w:pPr>
            <w:bookmarkStart w:id="4" w:name="_Hlk180065671"/>
            <w:r>
              <w:rPr>
                <w:rFonts w:hint="default"/>
                <w:lang w:val="en-US"/>
              </w:rPr>
              <w:t>Issue 1-1-3: Specification implementation for band/channel bandwidth support for SBFD</w:t>
            </w:r>
          </w:p>
          <w:bookmarkEnd w:id="4"/>
          <w:p w14:paraId="028C22D5">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14:paraId="68E85A4A">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宋体"/>
                <w:szCs w:val="24"/>
                <w:lang w:eastAsia="zh-CN"/>
              </w:rPr>
              <w:t xml:space="preserve">To include the following text in Clause 5.2 in TS 38.104: subband full duplex can be applied to the following TDD bands given in Table 5.2-1, by giving the band numbers which support SBFD. </w:t>
            </w:r>
          </w:p>
          <w:p w14:paraId="69D3579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lang w:val="en-US"/>
              </w:rPr>
              <w:t>D</w:t>
            </w:r>
            <w:r>
              <w:rPr>
                <w:rFonts w:hint="default"/>
                <w:lang w:val="en-US"/>
              </w:rPr>
              <w:t>etailed band list is provided based on the agreement for minimum channel bandwidth for SBFD</w:t>
            </w:r>
          </w:p>
          <w:p w14:paraId="3EE69FFF">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宋体"/>
                <w:szCs w:val="24"/>
                <w:lang w:eastAsia="zh-CN"/>
              </w:rPr>
              <w:t>F</w:t>
            </w:r>
            <w:r>
              <w:rPr>
                <w:rFonts w:hint="default" w:eastAsia="宋体"/>
                <w:szCs w:val="24"/>
                <w:lang w:eastAsia="zh-CN"/>
              </w:rPr>
              <w:t>FS the band for NR-U shall be supported</w:t>
            </w:r>
          </w:p>
          <w:p w14:paraId="47334ECD">
            <w:pPr>
              <w:keepNext w:val="0"/>
              <w:keepLines w:val="0"/>
              <w:suppressLineNumbers w:val="0"/>
              <w:spacing w:before="0" w:beforeAutospacing="0" w:after="120" w:afterAutospacing="0" w:line="259" w:lineRule="auto"/>
              <w:ind w:left="0" w:right="0"/>
              <w:rPr>
                <w:rFonts w:hint="default"/>
                <w:lang w:val="en-US"/>
              </w:rPr>
            </w:pPr>
          </w:p>
          <w:p w14:paraId="239F4BD3">
            <w:pPr>
              <w:pStyle w:val="6"/>
              <w:numPr>
                <w:ilvl w:val="0"/>
                <w:numId w:val="0"/>
              </w:numPr>
              <w:suppressLineNumbers w:val="0"/>
              <w:spacing w:beforeAutospacing="0" w:afterAutospacing="0"/>
              <w:ind w:left="864" w:right="0" w:hanging="864"/>
              <w:rPr>
                <w:rFonts w:hint="default"/>
                <w:lang w:val="en-US"/>
              </w:rPr>
            </w:pPr>
            <w:bookmarkStart w:id="5" w:name="_Hlk179978790"/>
            <w:r>
              <w:rPr>
                <w:rFonts w:hint="default"/>
                <w:lang w:val="en-US"/>
              </w:rPr>
              <w:t>Issue 1-1-4: Transmission bandwidth configuration for SBFD</w:t>
            </w:r>
          </w:p>
          <w:bookmarkEnd w:id="5"/>
          <w:p w14:paraId="39334A45">
            <w:pPr>
              <w:keepNext w:val="0"/>
              <w:keepLines w:val="0"/>
              <w:suppressLineNumbers w:val="0"/>
              <w:spacing w:before="0" w:beforeAutospacing="0" w:after="120" w:afterAutospacing="0" w:line="259" w:lineRule="auto"/>
              <w:ind w:left="0" w:right="0"/>
              <w:rPr>
                <w:rFonts w:hint="default"/>
                <w:lang w:val="en-US"/>
              </w:rPr>
            </w:pPr>
            <w:bookmarkStart w:id="6" w:name="_Hlk179978815"/>
            <w:r>
              <w:rPr>
                <w:rFonts w:hint="default"/>
                <w:lang w:val="en-US"/>
              </w:rPr>
              <w:t xml:space="preserve">Way Forward: </w:t>
            </w:r>
          </w:p>
          <w:p w14:paraId="18FDDB1F">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Illustrative figures from Ericsson will be used as the baseline for further study: </w:t>
            </w:r>
          </w:p>
          <w:p w14:paraId="11ADE50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the restriction of SCS for DL and UL subbands</w:t>
            </w:r>
          </w:p>
          <w:p w14:paraId="53F5B675">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R</w:t>
            </w:r>
            <w:r>
              <w:rPr>
                <w:rFonts w:hint="default" w:eastAsiaTheme="minorEastAsia"/>
                <w:lang w:val="en-US" w:eastAsia="zh-CN"/>
              </w:rPr>
              <w:t>evisit the DUD figure based on the updated definition of N</w:t>
            </w:r>
            <w:r>
              <w:rPr>
                <w:rFonts w:hint="default" w:eastAsiaTheme="minorEastAsia"/>
                <w:vertAlign w:val="subscript"/>
                <w:lang w:val="en-US" w:eastAsia="zh-CN"/>
              </w:rPr>
              <w:t>RB,SBFD,DL</w:t>
            </w:r>
          </w:p>
          <w:p w14:paraId="6E6DA3AC">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F</w:t>
            </w:r>
            <w:r>
              <w:rPr>
                <w:rFonts w:hint="default" w:eastAsiaTheme="minorEastAsia"/>
                <w:lang w:val="en-US" w:eastAsia="zh-CN"/>
              </w:rPr>
              <w:t xml:space="preserve">FS other potential issues. </w:t>
            </w:r>
          </w:p>
          <w:bookmarkEnd w:id="6"/>
          <w:p w14:paraId="38BC928E">
            <w:pPr>
              <w:keepNext w:val="0"/>
              <w:keepLines w:val="0"/>
              <w:suppressLineNumbers w:val="0"/>
              <w:spacing w:before="0" w:beforeAutospacing="0" w:after="120" w:afterAutospacing="0" w:line="259" w:lineRule="auto"/>
              <w:ind w:left="0" w:right="0"/>
              <w:rPr>
                <w:rFonts w:hint="default"/>
                <w:lang w:val="en-US"/>
              </w:rPr>
            </w:pPr>
          </w:p>
          <w:p w14:paraId="658AB347">
            <w:pPr>
              <w:pStyle w:val="6"/>
              <w:numPr>
                <w:ilvl w:val="0"/>
                <w:numId w:val="0"/>
              </w:numPr>
              <w:suppressLineNumbers w:val="0"/>
              <w:spacing w:beforeAutospacing="0" w:afterAutospacing="0"/>
              <w:ind w:right="0"/>
              <w:rPr>
                <w:rFonts w:hint="default"/>
                <w:lang w:val="en-US"/>
              </w:rPr>
            </w:pPr>
            <w:bookmarkStart w:id="7" w:name="_Hlk179978891"/>
            <w:r>
              <w:rPr>
                <w:rFonts w:hint="default"/>
                <w:lang w:val="en-US"/>
              </w:rPr>
              <w:t>Issue 1-1-5: DL/UL subband configurations support for SBFD</w:t>
            </w:r>
          </w:p>
          <w:bookmarkEnd w:id="7"/>
          <w:p w14:paraId="7C079D72">
            <w:pPr>
              <w:keepNext w:val="0"/>
              <w:keepLines w:val="0"/>
              <w:suppressLineNumbers w:val="0"/>
              <w:spacing w:before="0" w:beforeAutospacing="0" w:after="120" w:afterAutospacing="0" w:line="259" w:lineRule="auto"/>
              <w:ind w:left="0" w:right="0"/>
              <w:rPr>
                <w:rFonts w:hint="default"/>
                <w:lang w:val="en-US"/>
              </w:rPr>
            </w:pPr>
            <w:r>
              <w:rPr>
                <w:rFonts w:hint="default"/>
                <w:lang w:val="en-US"/>
              </w:rPr>
              <w:t xml:space="preserve">Way Forward: </w:t>
            </w:r>
          </w:p>
          <w:p w14:paraId="01EB9853">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eastAsia="宋体"/>
                <w:szCs w:val="24"/>
                <w:lang w:eastAsia="zh-CN"/>
              </w:rPr>
            </w:pPr>
            <w:r>
              <w:rPr>
                <w:rFonts w:hint="default" w:eastAsia="宋体"/>
                <w:szCs w:val="24"/>
                <w:lang w:eastAsia="zh-CN"/>
              </w:rPr>
              <w:t>RAN4 to further study Option 2b by considering the below additional restrictions such as:</w:t>
            </w:r>
          </w:p>
          <w:p w14:paraId="269C6D8C">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For DUD case, the UL subband should be placed in the middle of channel bandwidth</w:t>
            </w:r>
          </w:p>
          <w:p w14:paraId="050417F0">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eastAsia" w:eastAsia="宋体"/>
                <w:szCs w:val="24"/>
                <w:lang w:eastAsia="zh-CN"/>
              </w:rPr>
              <w:t>F</w:t>
            </w:r>
            <w:r>
              <w:rPr>
                <w:rFonts w:hint="default" w:eastAsia="宋体"/>
                <w:szCs w:val="24"/>
                <w:lang w:eastAsia="zh-CN"/>
              </w:rPr>
              <w:t>FS the number of DL subband sizes to be declared and tested</w:t>
            </w:r>
          </w:p>
          <w:p w14:paraId="385F2588">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Alt-1</w:t>
            </w:r>
            <w:r>
              <w:rPr>
                <w:rFonts w:hint="default" w:asciiTheme="minorEastAsia" w:hAnsiTheme="minorEastAsia" w:eastAsiaTheme="minorEastAsia"/>
                <w:lang w:val="en-US" w:eastAsia="zh-CN"/>
              </w:rPr>
              <w:t xml:space="preserve">: </w:t>
            </w:r>
            <w:r>
              <w:rPr>
                <w:rFonts w:hint="default"/>
                <w:lang w:val="en-US"/>
              </w:rPr>
              <w:t>For FR1 WA BS, one DL subband size is declared to support SBFD and tested, operation with other DL subband sizes than the tested one is not allowed.</w:t>
            </w:r>
          </w:p>
          <w:p w14:paraId="4B6F5955">
            <w:pPr>
              <w:pStyle w:val="36"/>
              <w:keepNext w:val="0"/>
              <w:keepLines w:val="0"/>
              <w:numPr>
                <w:ilvl w:val="3"/>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necessity of this restriction is applicable to other FR1 BS classes and FR2 BS. </w:t>
            </w:r>
          </w:p>
          <w:p w14:paraId="45CDCF26">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Alt-2: For FR1 WA BS, the DL subband sizes declared to support SBFD shall be tested</w:t>
            </w:r>
          </w:p>
          <w:p w14:paraId="2366CD10">
            <w:pPr>
              <w:pStyle w:val="36"/>
              <w:keepNext w:val="0"/>
              <w:keepLines w:val="0"/>
              <w:numPr>
                <w:ilvl w:val="3"/>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necessity of this restriction is applicable to other FR1 BS classes and FR2 BS. </w:t>
            </w:r>
          </w:p>
          <w:p w14:paraId="32D35DC1">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宋体"/>
                <w:szCs w:val="24"/>
                <w:lang w:eastAsia="zh-CN"/>
              </w:rPr>
              <w:t xml:space="preserve">Restriction on UL subband size based on the specific channel bandwidth </w:t>
            </w:r>
          </w:p>
          <w:p w14:paraId="695A39C5">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to specify a range of ratio for UL subband size over channel bandwidth. </w:t>
            </w:r>
          </w:p>
          <w:p w14:paraId="69B1B829">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FFS the restriction is different for DU and DUD</w:t>
            </w:r>
          </w:p>
          <w:p w14:paraId="64FBC414">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restriction is applied for FR2 case. </w:t>
            </w:r>
          </w:p>
          <w:p w14:paraId="4D8711D1">
            <w:pPr>
              <w:keepNext w:val="0"/>
              <w:keepLines w:val="0"/>
              <w:suppressLineNumbers w:val="0"/>
              <w:spacing w:before="0" w:beforeAutospacing="0" w:after="120" w:afterAutospacing="0" w:line="259" w:lineRule="auto"/>
              <w:ind w:left="0" w:right="0"/>
              <w:rPr>
                <w:rFonts w:hint="default"/>
                <w:lang w:val="en-US"/>
              </w:rPr>
            </w:pPr>
          </w:p>
          <w:p w14:paraId="796DE940">
            <w:pPr>
              <w:pStyle w:val="4"/>
              <w:suppressLineNumbers w:val="0"/>
              <w:spacing w:beforeAutospacing="0" w:afterAutospacing="0"/>
              <w:ind w:right="0"/>
              <w:rPr>
                <w:rFonts w:hint="default"/>
                <w:lang w:val="en-US"/>
              </w:rPr>
            </w:pPr>
            <w:r>
              <w:rPr>
                <w:rFonts w:hint="default"/>
                <w:lang w:val="en-US"/>
              </w:rPr>
              <w:t>Sub-topic 1-2</w:t>
            </w:r>
            <w:r>
              <w:rPr>
                <w:rFonts w:hint="eastAsia"/>
                <w:lang w:val="en-US"/>
              </w:rPr>
              <w:t>:</w:t>
            </w:r>
            <w:r>
              <w:rPr>
                <w:rFonts w:hint="default"/>
                <w:lang w:val="en-US"/>
              </w:rPr>
              <w:t xml:space="preserve"> Other general issues for SBFD requirements</w:t>
            </w:r>
          </w:p>
          <w:p w14:paraId="7962DA12">
            <w:pPr>
              <w:pStyle w:val="6"/>
              <w:numPr>
                <w:ilvl w:val="0"/>
                <w:numId w:val="0"/>
              </w:numPr>
              <w:suppressLineNumbers w:val="0"/>
              <w:spacing w:beforeAutospacing="0" w:afterAutospacing="0"/>
              <w:ind w:left="1008" w:right="0" w:hanging="1008"/>
              <w:rPr>
                <w:rFonts w:hint="default"/>
                <w:lang w:val="en-US"/>
              </w:rPr>
            </w:pPr>
            <w:r>
              <w:rPr>
                <w:rFonts w:hint="default"/>
                <w:lang w:val="en-US"/>
              </w:rPr>
              <w:t>Issue 1-2-1: BS RF Specification structure for SBFD requirements</w:t>
            </w:r>
          </w:p>
          <w:p w14:paraId="14CC16C5">
            <w:pPr>
              <w:keepNext w:val="0"/>
              <w:keepLines w:val="0"/>
              <w:suppressLineNumbers w:val="0"/>
              <w:spacing w:before="0" w:beforeAutospacing="0" w:after="120" w:afterAutospacing="0" w:line="259" w:lineRule="auto"/>
              <w:ind w:left="0" w:right="0"/>
              <w:rPr>
                <w:rFonts w:hint="default"/>
                <w:lang w:val="en-US"/>
              </w:rPr>
            </w:pPr>
            <w:r>
              <w:rPr>
                <w:rFonts w:hint="default"/>
                <w:lang w:val="en-US"/>
              </w:rPr>
              <w:t xml:space="preserve">Way Forward: </w:t>
            </w:r>
          </w:p>
          <w:p w14:paraId="7CE61D44">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eastAsia="宋体"/>
                <w:szCs w:val="24"/>
                <w:lang w:eastAsia="zh-CN"/>
              </w:rPr>
            </w:pPr>
            <w:r>
              <w:rPr>
                <w:rFonts w:hint="default" w:eastAsia="宋体"/>
                <w:szCs w:val="24"/>
                <w:lang w:eastAsia="zh-CN"/>
              </w:rPr>
              <w:t xml:space="preserve">FFS options of how to introduce BS RF new requirements for SBFD-capable BS: </w:t>
            </w:r>
          </w:p>
          <w:p w14:paraId="3BE8A784">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bookmarkStart w:id="8" w:name="_Hlk179929515"/>
            <w:r>
              <w:rPr>
                <w:rFonts w:hint="default" w:eastAsia="宋体"/>
                <w:szCs w:val="24"/>
                <w:lang w:eastAsia="zh-CN"/>
              </w:rPr>
              <w:t>Option-2: Creating new sub-clauses in TS 38.104 for RF requirements that applies for SBFD</w:t>
            </w:r>
          </w:p>
          <w:p w14:paraId="2CEE3480">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default" w:eastAsia="宋体"/>
                <w:szCs w:val="24"/>
                <w:lang w:eastAsia="zh-CN"/>
              </w:rPr>
              <w:t>Option-3: A new specification for SBFD BS RF requirements</w:t>
            </w:r>
            <w:bookmarkEnd w:id="8"/>
          </w:p>
        </w:tc>
      </w:tr>
    </w:tbl>
    <w:p w14:paraId="0E2F14E6">
      <w:pPr>
        <w:tabs>
          <w:tab w:val="left" w:pos="2127"/>
        </w:tabs>
        <w:spacing w:after="0"/>
        <w:rPr>
          <w:rFonts w:hint="default" w:eastAsia="宋体"/>
          <w:lang w:val="en-US" w:eastAsia="zh-CN"/>
        </w:rPr>
      </w:pPr>
    </w:p>
    <w:p w14:paraId="145B70EC">
      <w:pPr>
        <w:pStyle w:val="57"/>
        <w:tabs>
          <w:tab w:val="left" w:pos="567"/>
          <w:tab w:val="clear" w:pos="1985"/>
        </w:tabs>
        <w:adjustRightInd w:val="0"/>
        <w:ind w:left="510" w:hanging="510"/>
        <w:rPr>
          <w:rFonts w:hint="eastAsia" w:eastAsia="宋体"/>
          <w:lang w:eastAsia="zh-CN"/>
        </w:rPr>
      </w:pPr>
      <w:r>
        <w:rPr>
          <w:rFonts w:hint="eastAsia"/>
        </w:rPr>
        <w:t xml:space="preserve">Discussion </w:t>
      </w:r>
      <w:bookmarkStart w:id="9" w:name="OLE_LINK20"/>
      <w:bookmarkStart w:id="10" w:name="OLE_LINK10"/>
      <w:bookmarkStart w:id="11" w:name="OLE_LINK14"/>
      <w:bookmarkStart w:id="12" w:name="OLE_LINK13"/>
      <w:r>
        <w:rPr>
          <w:rFonts w:hint="eastAsia" w:eastAsia="Times New Roman"/>
        </w:rPr>
        <w:t xml:space="preserve"> </w:t>
      </w:r>
      <w:bookmarkEnd w:id="9"/>
      <w:bookmarkEnd w:id="10"/>
      <w:bookmarkEnd w:id="11"/>
      <w:bookmarkEnd w:id="12"/>
    </w:p>
    <w:p w14:paraId="7ACCA1C6">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1-1-3: Specification implementation of operating bands support for SBFD</w:t>
      </w:r>
    </w:p>
    <w:p w14:paraId="176733B3">
      <w:pPr>
        <w:spacing w:after="120" w:line="259" w:lineRule="auto"/>
        <w:rPr>
          <w:highlight w:val="green"/>
          <w:lang w:val="en-US"/>
        </w:rPr>
      </w:pPr>
      <w:r>
        <w:rPr>
          <w:highlight w:val="green"/>
          <w:lang w:val="en-US"/>
        </w:rPr>
        <w:t>Agreement:</w:t>
      </w:r>
    </w:p>
    <w:p w14:paraId="6D371CC9">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The following TP is adopted for clause 5.2 in TS 38.104</w:t>
      </w:r>
    </w:p>
    <w:p w14:paraId="76584526">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Subband full duplex (SBFD) is designed to operate in NR TDD operating bands in FR1 which are defined in Table 5.2-1 except bands n34, n46, n51, n53, n54, n96, n101 and n102, and NR operating bands in FR2-1 which are defined in Table 5.2-2.</w:t>
      </w:r>
    </w:p>
    <w:p w14:paraId="3361C601">
      <w:pPr>
        <w:pStyle w:val="36"/>
        <w:numPr>
          <w:ilvl w:val="0"/>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FFS a note in the band table 5.2-1 to indicate the NR TDD bands not applicable to SBFD operation.</w:t>
      </w:r>
    </w:p>
    <w:p w14:paraId="793B166D">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eastAsia="宋体"/>
          <w:szCs w:val="24"/>
          <w:lang w:val="en-US" w:eastAsia="zh-CN"/>
        </w:rPr>
        <w:t xml:space="preserve">In the last RAN4 meeting, there is one open issue for the necessity of additional note to indicate the NR TDD bands not applicable to SBFD operation. </w:t>
      </w:r>
      <w:r>
        <w:rPr>
          <w:rFonts w:hint="eastAsia"/>
          <w:szCs w:val="24"/>
          <w:lang w:val="en-US" w:eastAsia="zh-CN"/>
        </w:rPr>
        <w:t>From our understanding, the exceptional NR TDD bands not supporting SBFD operation has already clarified in the main body, therefore we don</w:t>
      </w:r>
      <w:r>
        <w:rPr>
          <w:rFonts w:hint="default"/>
          <w:szCs w:val="24"/>
          <w:lang w:val="en-US" w:eastAsia="zh-CN"/>
        </w:rPr>
        <w:t>’</w:t>
      </w:r>
      <w:r>
        <w:rPr>
          <w:rFonts w:hint="eastAsia"/>
          <w:szCs w:val="24"/>
          <w:lang w:val="en-US" w:eastAsia="zh-CN"/>
        </w:rPr>
        <w:t>t see the additional or duplicated information to be captured in the band table 5.2-1.</w:t>
      </w:r>
    </w:p>
    <w:p w14:paraId="62CD7691">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xml:space="preserve">: propose not to specify the additional note in band table 5.2-1 to indicate the NR TDD bands not applicable to SBFD operation. </w:t>
      </w:r>
    </w:p>
    <w:p w14:paraId="4ACB0F4C">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1-3-1: Clarification on declaration and flexibility</w:t>
      </w:r>
    </w:p>
    <w:p w14:paraId="6B16B58B">
      <w:pPr>
        <w:spacing w:after="120" w:line="259" w:lineRule="auto"/>
        <w:rPr>
          <w:highlight w:val="green"/>
          <w:lang w:val="en-US"/>
        </w:rPr>
      </w:pPr>
      <w:r>
        <w:rPr>
          <w:rFonts w:hint="eastAsia"/>
          <w:highlight w:val="green"/>
          <w:lang w:val="en-US"/>
        </w:rPr>
        <w:t>A</w:t>
      </w:r>
      <w:r>
        <w:rPr>
          <w:highlight w:val="green"/>
          <w:lang w:val="en-US"/>
        </w:rPr>
        <w:t xml:space="preserve">greement: </w:t>
      </w:r>
    </w:p>
    <w:p w14:paraId="55117741">
      <w:pPr>
        <w:pStyle w:val="36"/>
        <w:numPr>
          <w:ilvl w:val="0"/>
          <w:numId w:val="2"/>
        </w:numPr>
        <w:overflowPunct/>
        <w:autoSpaceDE/>
        <w:autoSpaceDN/>
        <w:adjustRightInd/>
        <w:spacing w:after="120" w:line="259" w:lineRule="auto"/>
        <w:ind w:firstLineChars="0"/>
        <w:textAlignment w:val="auto"/>
        <w:rPr>
          <w:lang w:val="en-US"/>
        </w:rPr>
      </w:pPr>
      <w:r>
        <w:rPr>
          <w:rFonts w:eastAsia="宋体"/>
          <w:szCs w:val="24"/>
          <w:lang w:eastAsia="zh-CN"/>
        </w:rPr>
        <w:t>The SBFD capable BS product shall not operate any SBFD configuration (DL/UL subband) other than those that have been declared</w:t>
      </w:r>
    </w:p>
    <w:p w14:paraId="613F74A7">
      <w:pPr>
        <w:pStyle w:val="36"/>
        <w:numPr>
          <w:ilvl w:val="0"/>
          <w:numId w:val="2"/>
        </w:numPr>
        <w:overflowPunct/>
        <w:autoSpaceDE/>
        <w:autoSpaceDN/>
        <w:adjustRightInd/>
        <w:spacing w:after="120" w:line="259" w:lineRule="auto"/>
        <w:ind w:firstLineChars="0"/>
        <w:textAlignment w:val="auto"/>
        <w:rPr>
          <w:lang w:val="en-US"/>
        </w:rPr>
      </w:pPr>
      <w:r>
        <w:rPr>
          <w:rFonts w:eastAsia="宋体"/>
          <w:szCs w:val="24"/>
          <w:lang w:eastAsia="zh-CN"/>
        </w:rPr>
        <w:t>The SBFD capable BS product shall not operate any declared SBFD configuration (DL/UL subband) other than those that have been tested.</w:t>
      </w:r>
    </w:p>
    <w:p w14:paraId="5A8C9360">
      <w:pPr>
        <w:pStyle w:val="36"/>
        <w:numPr>
          <w:ilvl w:val="1"/>
          <w:numId w:val="2"/>
        </w:numPr>
        <w:overflowPunct/>
        <w:autoSpaceDE/>
        <w:autoSpaceDN/>
        <w:adjustRightInd/>
        <w:spacing w:after="120" w:line="259" w:lineRule="auto"/>
        <w:ind w:firstLineChars="0"/>
        <w:textAlignment w:val="auto"/>
        <w:rPr>
          <w:lang w:val="en-US"/>
        </w:rPr>
      </w:pPr>
      <w:r>
        <w:rPr>
          <w:rFonts w:hint="eastAsia" w:eastAsia="宋体"/>
          <w:szCs w:val="24"/>
          <w:lang w:eastAsia="zh-CN"/>
        </w:rPr>
        <w:t>F</w:t>
      </w:r>
      <w:r>
        <w:rPr>
          <w:rFonts w:eastAsia="宋体"/>
          <w:szCs w:val="24"/>
          <w:lang w:eastAsia="zh-CN"/>
        </w:rPr>
        <w:t xml:space="preserve">FS on how to capture this in the specification. </w:t>
      </w:r>
    </w:p>
    <w:p w14:paraId="08A9BF93">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This restriction shall at least be applied to FR1 WA BS</w:t>
      </w:r>
    </w:p>
    <w:p w14:paraId="732720CC">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FFS other BS classes</w:t>
      </w:r>
    </w:p>
    <w:p w14:paraId="5781CCB0">
      <w:pPr>
        <w:pStyle w:val="36"/>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FFS the possibility of testing the worst-case scenario in each RF front end operational configuration from the supported SBFD configurations.</w:t>
      </w:r>
    </w:p>
    <w:p w14:paraId="2F9ED268">
      <w:pPr>
        <w:pStyle w:val="36"/>
        <w:numPr>
          <w:ilvl w:val="3"/>
          <w:numId w:val="2"/>
        </w:numPr>
        <w:overflowPunct/>
        <w:autoSpaceDE/>
        <w:autoSpaceDN/>
        <w:adjustRightInd/>
        <w:spacing w:after="120" w:line="259" w:lineRule="auto"/>
        <w:ind w:firstLineChars="0"/>
        <w:textAlignment w:val="auto"/>
        <w:rPr>
          <w:rFonts w:hint="default"/>
          <w:szCs w:val="24"/>
          <w:lang w:val="en-US" w:eastAsia="zh-CN"/>
        </w:rPr>
      </w:pPr>
      <w:r>
        <w:rPr>
          <w:rFonts w:eastAsia="宋体"/>
          <w:szCs w:val="24"/>
          <w:lang w:eastAsia="zh-CN"/>
        </w:rPr>
        <w:t xml:space="preserve">FFS how to capture this in the specifications </w:t>
      </w:r>
    </w:p>
    <w:p w14:paraId="4A55ED7D">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Regarding the declaration and flexibility, it is still open on how to capture it in the specification. From our understanding, this is up to the additional manufacture declaration for SBFD operation in the TS38.141-2. BS capable of SBFD operation need to declare its supported SBFD configuration similar as legacy BS indicating the supported channel bandwidth (e.g. D.7). In addition, regarding the test signal used to build testing configuration for SBFD operation, there would be two different approach:</w:t>
      </w:r>
    </w:p>
    <w:p w14:paraId="6CD0551F">
      <w:pPr>
        <w:pStyle w:val="36"/>
        <w:numPr>
          <w:ilvl w:val="0"/>
          <w:numId w:val="3"/>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FR1 WA BS capable of SBFD operation, BS need to declare its supported SBFD configuration and test all of these SBFD configuration; </w:t>
      </w:r>
    </w:p>
    <w:p w14:paraId="007D898D">
      <w:pPr>
        <w:pStyle w:val="36"/>
        <w:numPr>
          <w:ilvl w:val="0"/>
          <w:numId w:val="3"/>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For other BS class capable of SBFD operation, BS need to declare its supported SBFD configuration and only test the worst case which follows the legacy principle (e.g. typical transmission bandwidth (5MHz or 20MHz) or minimum supported DL sub-band configuration) </w:t>
      </w:r>
    </w:p>
    <w:p w14:paraId="43D6F204">
      <w:pPr>
        <w:pStyle w:val="47"/>
        <w:rPr>
          <w:lang w:val="en-US"/>
        </w:rPr>
      </w:pPr>
      <w:bookmarkStart w:id="13" w:name="_Ref516750404"/>
      <w:r>
        <w:t>Table</w:t>
      </w:r>
      <w:bookmarkEnd w:id="13"/>
      <w:r>
        <w:t xml:space="preserve"> 4.7.2.1-1: Signal to be used to build NR TCs for </w:t>
      </w:r>
      <w:r>
        <w:rPr>
          <w:i/>
        </w:rPr>
        <w:t>BS type 1-H</w:t>
      </w:r>
      <w:r>
        <w:t xml:space="preserve"> and </w:t>
      </w:r>
      <w:r>
        <w:rPr>
          <w:i/>
        </w:rPr>
        <w:t>BS type 1-O</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1968"/>
        <w:gridCol w:w="1968"/>
      </w:tblGrid>
      <w:tr w14:paraId="12129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280F5D85">
            <w:pPr>
              <w:pStyle w:val="37"/>
              <w:suppressLineNumbers w:val="0"/>
              <w:spacing w:before="0" w:beforeAutospacing="0" w:afterAutospacing="0"/>
              <w:ind w:left="0" w:right="0"/>
              <w:rPr>
                <w:rFonts w:hint="default"/>
                <w:lang w:val="en-US" w:eastAsia="zh-CN"/>
              </w:rPr>
            </w:pPr>
            <w:r>
              <w:rPr>
                <w:rFonts w:hint="default"/>
                <w:i/>
                <w:lang w:val="en-US"/>
              </w:rPr>
              <w:t>Operating band</w:t>
            </w:r>
            <w:r>
              <w:rPr>
                <w:rFonts w:hint="default"/>
                <w:lang w:val="en-US"/>
              </w:rPr>
              <w:t xml:space="preserve"> characteristics</w:t>
            </w:r>
          </w:p>
        </w:tc>
        <w:tc>
          <w:tcPr>
            <w:tcW w:w="1968" w:type="dxa"/>
            <w:shd w:val="clear" w:color="auto" w:fill="auto"/>
          </w:tcPr>
          <w:p w14:paraId="70837787">
            <w:pPr>
              <w:pStyle w:val="37"/>
              <w:suppressLineNumbers w:val="0"/>
              <w:spacing w:before="0" w:beforeAutospacing="0" w:afterAutospacing="0"/>
              <w:ind w:left="0" w:right="0"/>
              <w:rPr>
                <w:rFonts w:hint="default"/>
                <w:lang w:val="en-US"/>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w:t>
            </w:r>
            <w:r>
              <w:rPr>
                <w:rFonts w:hint="default"/>
                <w:lang w:val="en-US"/>
              </w:rPr>
              <w:t>&lt; 100 MHz</w:t>
            </w:r>
          </w:p>
        </w:tc>
        <w:tc>
          <w:tcPr>
            <w:tcW w:w="1968" w:type="dxa"/>
            <w:shd w:val="clear" w:color="auto" w:fill="auto"/>
          </w:tcPr>
          <w:p w14:paraId="7E8D696E">
            <w:pPr>
              <w:pStyle w:val="37"/>
              <w:suppressLineNumbers w:val="0"/>
              <w:spacing w:before="0" w:beforeAutospacing="0" w:afterAutospacing="0"/>
              <w:ind w:left="0" w:right="0"/>
              <w:rPr>
                <w:rFonts w:hint="default"/>
                <w:lang w:val="en-US"/>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w:t>
            </w:r>
            <w:r>
              <w:rPr>
                <w:rFonts w:hint="default" w:cs="Arial"/>
                <w:lang w:val="en-US"/>
              </w:rPr>
              <w:t>≥</w:t>
            </w:r>
            <w:r>
              <w:rPr>
                <w:rFonts w:hint="default"/>
                <w:lang w:val="en-US"/>
              </w:rPr>
              <w:t xml:space="preserve"> 100 MHz</w:t>
            </w:r>
          </w:p>
        </w:tc>
      </w:tr>
      <w:tr w14:paraId="46C3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6E2B2C1C">
            <w:pPr>
              <w:pStyle w:val="39"/>
              <w:suppressLineNumbers w:val="0"/>
              <w:spacing w:before="0" w:beforeAutospacing="0" w:afterAutospacing="0"/>
              <w:ind w:left="0" w:right="0"/>
              <w:rPr>
                <w:rFonts w:hint="default"/>
                <w:lang w:val="en-US"/>
              </w:rPr>
            </w:pPr>
            <w:r>
              <w:rPr>
                <w:rFonts w:hint="default"/>
                <w:lang w:val="en-US"/>
              </w:rPr>
              <w:t>TC signal</w:t>
            </w:r>
          </w:p>
        </w:tc>
        <w:tc>
          <w:tcPr>
            <w:tcW w:w="1968" w:type="dxa"/>
          </w:tcPr>
          <w:p w14:paraId="09481008">
            <w:pPr>
              <w:pStyle w:val="39"/>
              <w:suppressLineNumbers w:val="0"/>
              <w:spacing w:before="0" w:beforeAutospacing="0" w:afterAutospacing="0"/>
              <w:ind w:left="0" w:right="0"/>
              <w:rPr>
                <w:rFonts w:hint="default"/>
                <w:lang w:val="en-US"/>
              </w:rPr>
            </w:pPr>
            <w:r>
              <w:rPr>
                <w:rFonts w:hint="default"/>
                <w:lang w:val="en-US" w:eastAsia="zh-CN"/>
              </w:rPr>
              <w:t>BW</w:t>
            </w:r>
            <w:r>
              <w:rPr>
                <w:rFonts w:hint="default"/>
                <w:vertAlign w:val="subscript"/>
                <w:lang w:val="en-US" w:eastAsia="zh-CN"/>
              </w:rPr>
              <w:t>channel</w:t>
            </w:r>
          </w:p>
        </w:tc>
        <w:tc>
          <w:tcPr>
            <w:tcW w:w="1968" w:type="dxa"/>
            <w:shd w:val="clear" w:color="auto" w:fill="auto"/>
          </w:tcPr>
          <w:p w14:paraId="2C9BBF13">
            <w:pPr>
              <w:pStyle w:val="39"/>
              <w:suppressLineNumbers w:val="0"/>
              <w:spacing w:before="0" w:beforeAutospacing="0" w:afterAutospacing="0"/>
              <w:ind w:left="0" w:right="0"/>
              <w:rPr>
                <w:rFonts w:hint="default"/>
                <w:lang w:val="en-US"/>
              </w:rPr>
            </w:pPr>
            <w:r>
              <w:rPr>
                <w:rFonts w:hint="default"/>
                <w:lang w:val="en-US"/>
              </w:rPr>
              <w:t>5 MHz (Note)</w:t>
            </w:r>
          </w:p>
        </w:tc>
        <w:tc>
          <w:tcPr>
            <w:tcW w:w="1968" w:type="dxa"/>
            <w:shd w:val="clear" w:color="auto" w:fill="auto"/>
          </w:tcPr>
          <w:p w14:paraId="6DFE1045">
            <w:pPr>
              <w:pStyle w:val="39"/>
              <w:suppressLineNumbers w:val="0"/>
              <w:spacing w:before="0" w:beforeAutospacing="0" w:afterAutospacing="0"/>
              <w:ind w:left="0" w:right="0"/>
              <w:rPr>
                <w:rFonts w:hint="default"/>
                <w:lang w:val="en-US"/>
              </w:rPr>
            </w:pPr>
            <w:r>
              <w:rPr>
                <w:rFonts w:hint="default"/>
                <w:lang w:val="en-US"/>
              </w:rPr>
              <w:t>20 MHz (Note)</w:t>
            </w:r>
          </w:p>
        </w:tc>
      </w:tr>
      <w:tr w14:paraId="2CD4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450EB31C">
            <w:pPr>
              <w:pStyle w:val="39"/>
              <w:suppressLineNumbers w:val="0"/>
              <w:spacing w:before="0" w:beforeAutospacing="0" w:afterAutospacing="0"/>
              <w:ind w:left="0" w:right="0"/>
              <w:rPr>
                <w:rFonts w:hint="default" w:eastAsia="宋体"/>
                <w:lang w:val="en-US"/>
              </w:rPr>
            </w:pPr>
            <w:r>
              <w:rPr>
                <w:rFonts w:hint="default"/>
                <w:lang w:val="en-US"/>
              </w:rPr>
              <w:t>characteristics</w:t>
            </w:r>
          </w:p>
        </w:tc>
        <w:tc>
          <w:tcPr>
            <w:tcW w:w="1968" w:type="dxa"/>
          </w:tcPr>
          <w:p w14:paraId="5FFA1961">
            <w:pPr>
              <w:pStyle w:val="39"/>
              <w:suppressLineNumbers w:val="0"/>
              <w:spacing w:before="0" w:beforeAutospacing="0" w:afterAutospacing="0"/>
              <w:ind w:left="0" w:right="0"/>
              <w:rPr>
                <w:rFonts w:hint="default"/>
                <w:lang w:val="en-US"/>
              </w:rPr>
            </w:pPr>
            <w:r>
              <w:rPr>
                <w:rFonts w:hint="default"/>
                <w:lang w:val="en-US"/>
              </w:rPr>
              <w:t>Subcarrier spacing</w:t>
            </w:r>
          </w:p>
        </w:tc>
        <w:tc>
          <w:tcPr>
            <w:tcW w:w="3936" w:type="dxa"/>
            <w:gridSpan w:val="2"/>
            <w:shd w:val="clear" w:color="auto" w:fill="auto"/>
          </w:tcPr>
          <w:p w14:paraId="18AC80C6">
            <w:pPr>
              <w:pStyle w:val="39"/>
              <w:suppressLineNumbers w:val="0"/>
              <w:spacing w:before="0" w:beforeAutospacing="0" w:afterAutospacing="0"/>
              <w:ind w:left="0" w:right="0"/>
              <w:rPr>
                <w:rFonts w:hint="default"/>
                <w:lang w:val="en-US"/>
              </w:rPr>
            </w:pPr>
            <w:r>
              <w:rPr>
                <w:rFonts w:hint="default"/>
                <w:lang w:val="en-US"/>
              </w:rPr>
              <w:t>Smallest supported subcarrier spacing declared per operating band (D.7)</w:t>
            </w:r>
          </w:p>
        </w:tc>
      </w:tr>
      <w:tr w14:paraId="766B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7CB993E4">
            <w:pPr>
              <w:pStyle w:val="50"/>
              <w:suppressLineNumbers w:val="0"/>
              <w:spacing w:before="0" w:beforeAutospacing="0" w:afterAutospacing="0"/>
              <w:ind w:right="0"/>
              <w:rPr>
                <w:rFonts w:hint="default"/>
                <w:lang w:val="en-US"/>
              </w:rPr>
            </w:pPr>
            <w:r>
              <w:rPr>
                <w:rFonts w:hint="default"/>
                <w:lang w:val="en-US"/>
              </w:rPr>
              <w:t>NOTE:</w:t>
            </w:r>
            <w:r>
              <w:rPr>
                <w:rFonts w:hint="default"/>
                <w:lang w:val="en-US"/>
              </w:rPr>
              <w:tab/>
            </w:r>
            <w:r>
              <w:rPr>
                <w:rFonts w:hint="default"/>
                <w:lang w:val="en-US"/>
              </w:rPr>
              <w:t xml:space="preserve">If this </w:t>
            </w:r>
            <w:r>
              <w:rPr>
                <w:rFonts w:hint="default"/>
                <w:i/>
                <w:lang w:val="en-US"/>
              </w:rPr>
              <w:t>BS channel bandwidth</w:t>
            </w:r>
            <w:r>
              <w:rPr>
                <w:rFonts w:hint="default"/>
                <w:lang w:val="en-US"/>
              </w:rPr>
              <w:t xml:space="preserve"> is not supported, the narrowest supported </w:t>
            </w:r>
            <w:r>
              <w:rPr>
                <w:rFonts w:hint="default"/>
                <w:i/>
                <w:lang w:val="en-US"/>
              </w:rPr>
              <w:t>BS channel bandwidth</w:t>
            </w:r>
            <w:r>
              <w:rPr>
                <w:rFonts w:hint="default"/>
                <w:lang w:val="en-US"/>
              </w:rPr>
              <w:t xml:space="preserve"> </w:t>
            </w:r>
            <w:r>
              <w:rPr>
                <w:rFonts w:hint="default"/>
                <w:lang w:eastAsia="zh-CN"/>
              </w:rPr>
              <w:t xml:space="preserve">declared per </w:t>
            </w:r>
            <w:r>
              <w:rPr>
                <w:rFonts w:hint="default"/>
                <w:i/>
                <w:lang w:eastAsia="zh-CN"/>
              </w:rPr>
              <w:t>operating band</w:t>
            </w:r>
            <w:r>
              <w:rPr>
                <w:rFonts w:hint="default"/>
                <w:lang w:eastAsia="zh-CN"/>
              </w:rPr>
              <w:t xml:space="preserve"> </w:t>
            </w:r>
            <w:r>
              <w:rPr>
                <w:rFonts w:hint="default"/>
                <w:lang w:val="en-US"/>
              </w:rPr>
              <w:t>(D.7) shall be used.</w:t>
            </w:r>
          </w:p>
        </w:tc>
      </w:tr>
    </w:tbl>
    <w:p w14:paraId="16D3F9D5"/>
    <w:p w14:paraId="5D2420BE">
      <w:pPr>
        <w:pStyle w:val="47"/>
        <w:rPr>
          <w:lang w:val="en-US"/>
        </w:rPr>
      </w:pPr>
      <w:r>
        <w:t xml:space="preserve">Table 4.7.2.1-2: Signal to be used to build NR TCs for </w:t>
      </w:r>
      <w:r>
        <w:rPr>
          <w:i/>
        </w:rPr>
        <w:t>BS type 2-O</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02B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4E08F3FC">
            <w:pPr>
              <w:pStyle w:val="37"/>
              <w:suppressLineNumbers w:val="0"/>
              <w:spacing w:before="0" w:beforeAutospacing="0" w:afterAutospacing="0"/>
              <w:ind w:left="0" w:right="0"/>
              <w:rPr>
                <w:rFonts w:hint="default"/>
                <w:lang w:val="en-US" w:eastAsia="zh-CN"/>
              </w:rPr>
            </w:pPr>
            <w:r>
              <w:rPr>
                <w:rFonts w:hint="default"/>
                <w:i/>
                <w:lang w:val="en-US"/>
              </w:rPr>
              <w:t>Operating band</w:t>
            </w:r>
            <w:r>
              <w:rPr>
                <w:rFonts w:hint="default"/>
                <w:lang w:val="en-US"/>
              </w:rPr>
              <w:t xml:space="preserve"> characteristics</w:t>
            </w:r>
          </w:p>
        </w:tc>
        <w:tc>
          <w:tcPr>
            <w:tcW w:w="3936" w:type="dxa"/>
            <w:shd w:val="clear" w:color="auto" w:fill="auto"/>
          </w:tcPr>
          <w:p w14:paraId="4884F804">
            <w:pPr>
              <w:pStyle w:val="37"/>
              <w:suppressLineNumbers w:val="0"/>
              <w:spacing w:before="0" w:beforeAutospacing="0" w:afterAutospacing="0"/>
              <w:ind w:left="0" w:right="0"/>
              <w:rPr>
                <w:rFonts w:hint="default"/>
                <w:lang w:val="en-US"/>
              </w:rPr>
            </w:pPr>
            <w:r>
              <w:rPr>
                <w:rFonts w:hint="default"/>
              </w:rPr>
              <w:t>F</w:t>
            </w:r>
            <w:r>
              <w:rPr>
                <w:rFonts w:hint="default"/>
                <w:vertAlign w:val="subscript"/>
              </w:rPr>
              <w:t>DL_high</w:t>
            </w:r>
            <w:r>
              <w:rPr>
                <w:rFonts w:hint="default"/>
              </w:rPr>
              <w:t xml:space="preserve"> – F</w:t>
            </w:r>
            <w:r>
              <w:rPr>
                <w:rFonts w:hint="default"/>
                <w:vertAlign w:val="subscript"/>
              </w:rPr>
              <w:t>DL_low</w:t>
            </w:r>
            <w:r>
              <w:rPr>
                <w:rFonts w:hint="default"/>
              </w:rPr>
              <w:t xml:space="preserve"> </w:t>
            </w:r>
            <w:r>
              <w:rPr>
                <w:rFonts w:hint="default" w:cs="Arial"/>
              </w:rPr>
              <w:t>≤</w:t>
            </w:r>
            <w:r>
              <w:rPr>
                <w:rFonts w:hint="default"/>
              </w:rPr>
              <w:t xml:space="preserve"> 3250 MHz</w:t>
            </w:r>
          </w:p>
        </w:tc>
      </w:tr>
      <w:tr w14:paraId="0F0E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13B654F6">
            <w:pPr>
              <w:pStyle w:val="39"/>
              <w:suppressLineNumbers w:val="0"/>
              <w:spacing w:before="0" w:beforeAutospacing="0" w:afterAutospacing="0"/>
              <w:ind w:left="0" w:right="0"/>
              <w:rPr>
                <w:rFonts w:hint="default"/>
                <w:lang w:val="en-US"/>
              </w:rPr>
            </w:pPr>
            <w:r>
              <w:rPr>
                <w:rFonts w:hint="default"/>
                <w:lang w:val="en-US"/>
              </w:rPr>
              <w:t>TC signal</w:t>
            </w:r>
          </w:p>
        </w:tc>
        <w:tc>
          <w:tcPr>
            <w:tcW w:w="1968" w:type="dxa"/>
          </w:tcPr>
          <w:p w14:paraId="54E61EA8">
            <w:pPr>
              <w:pStyle w:val="39"/>
              <w:suppressLineNumbers w:val="0"/>
              <w:spacing w:before="0" w:beforeAutospacing="0" w:afterAutospacing="0"/>
              <w:ind w:left="0" w:right="0"/>
              <w:rPr>
                <w:rFonts w:hint="default"/>
                <w:lang w:val="en-US"/>
              </w:rPr>
            </w:pPr>
            <w:r>
              <w:rPr>
                <w:rFonts w:hint="default"/>
                <w:lang w:val="en-US" w:eastAsia="zh-CN"/>
              </w:rPr>
              <w:t>BW</w:t>
            </w:r>
            <w:r>
              <w:rPr>
                <w:rFonts w:hint="default"/>
                <w:vertAlign w:val="subscript"/>
                <w:lang w:val="en-US" w:eastAsia="zh-CN"/>
              </w:rPr>
              <w:t>channel</w:t>
            </w:r>
          </w:p>
        </w:tc>
        <w:tc>
          <w:tcPr>
            <w:tcW w:w="3936" w:type="dxa"/>
            <w:shd w:val="clear" w:color="auto" w:fill="auto"/>
          </w:tcPr>
          <w:p w14:paraId="1B330334">
            <w:pPr>
              <w:pStyle w:val="39"/>
              <w:suppressLineNumbers w:val="0"/>
              <w:spacing w:before="0" w:beforeAutospacing="0" w:afterAutospacing="0"/>
              <w:ind w:left="0" w:right="0"/>
              <w:rPr>
                <w:rFonts w:hint="default"/>
                <w:lang w:val="en-US"/>
              </w:rPr>
            </w:pPr>
            <w:r>
              <w:rPr>
                <w:rFonts w:hint="default"/>
                <w:lang w:val="en-US"/>
              </w:rPr>
              <w:t>100 MHz (Note 1, Note 2)</w:t>
            </w:r>
          </w:p>
        </w:tc>
      </w:tr>
      <w:tr w14:paraId="5710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3D096E62">
            <w:pPr>
              <w:pStyle w:val="39"/>
              <w:suppressLineNumbers w:val="0"/>
              <w:spacing w:before="0" w:beforeAutospacing="0" w:afterAutospacing="0"/>
              <w:ind w:left="0" w:right="0"/>
              <w:rPr>
                <w:rFonts w:hint="default"/>
              </w:rPr>
            </w:pPr>
            <w:r>
              <w:rPr>
                <w:rFonts w:hint="default"/>
                <w:lang w:val="en-US"/>
              </w:rPr>
              <w:t>characteristics</w:t>
            </w:r>
          </w:p>
        </w:tc>
        <w:tc>
          <w:tcPr>
            <w:tcW w:w="1968" w:type="dxa"/>
          </w:tcPr>
          <w:p w14:paraId="2DDC7062">
            <w:pPr>
              <w:pStyle w:val="39"/>
              <w:suppressLineNumbers w:val="0"/>
              <w:spacing w:before="0" w:beforeAutospacing="0" w:afterAutospacing="0"/>
              <w:ind w:left="0" w:right="0"/>
              <w:rPr>
                <w:rFonts w:hint="default"/>
                <w:lang w:val="en-US"/>
              </w:rPr>
            </w:pPr>
            <w:r>
              <w:rPr>
                <w:rFonts w:hint="default"/>
                <w:lang w:val="en-US"/>
              </w:rPr>
              <w:t>Subcarrier spacing</w:t>
            </w:r>
          </w:p>
        </w:tc>
        <w:tc>
          <w:tcPr>
            <w:tcW w:w="3936" w:type="dxa"/>
            <w:shd w:val="clear" w:color="auto" w:fill="auto"/>
          </w:tcPr>
          <w:p w14:paraId="7CD01DB7">
            <w:pPr>
              <w:pStyle w:val="39"/>
              <w:suppressLineNumbers w:val="0"/>
              <w:spacing w:before="0" w:beforeAutospacing="0" w:afterAutospacing="0"/>
              <w:ind w:left="0" w:right="0"/>
              <w:rPr>
                <w:rFonts w:hint="default"/>
                <w:lang w:val="en-US"/>
              </w:rPr>
            </w:pPr>
            <w:r>
              <w:rPr>
                <w:rFonts w:hint="default"/>
                <w:lang w:val="en-US"/>
              </w:rPr>
              <w:t>Smallest supported subcarrier spacing declared per operating band (D.7)</w:t>
            </w:r>
          </w:p>
        </w:tc>
      </w:tr>
      <w:tr w14:paraId="3798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3E44080D">
            <w:pPr>
              <w:pStyle w:val="50"/>
              <w:suppressLineNumbers w:val="0"/>
              <w:spacing w:before="0" w:beforeAutospacing="0" w:afterAutospacing="0"/>
              <w:ind w:right="0"/>
              <w:rPr>
                <w:rFonts w:hint="default"/>
                <w:lang w:val="en-US"/>
              </w:rPr>
            </w:pPr>
            <w:r>
              <w:rPr>
                <w:rFonts w:hint="default"/>
                <w:lang w:val="en-US"/>
              </w:rPr>
              <w:t>NOTE 1:</w:t>
            </w:r>
            <w:r>
              <w:rPr>
                <w:rFonts w:hint="default"/>
                <w:lang w:val="en-US"/>
              </w:rPr>
              <w:tab/>
            </w:r>
            <w:r>
              <w:rPr>
                <w:rFonts w:hint="default"/>
              </w:rPr>
              <w:t xml:space="preserve">BS vendor can decide to test with 50 MHz </w:t>
            </w:r>
            <w:r>
              <w:rPr>
                <w:rFonts w:hint="default"/>
                <w:i/>
              </w:rPr>
              <w:t>BS channel bandwidth</w:t>
            </w:r>
            <w:r>
              <w:rPr>
                <w:rFonts w:hint="default"/>
              </w:rPr>
              <w:t xml:space="preserve"> and smallest supported SCS </w:t>
            </w:r>
            <w:r>
              <w:rPr>
                <w:rFonts w:hint="default"/>
                <w:lang w:eastAsia="zh-CN"/>
              </w:rPr>
              <w:t xml:space="preserve">declared per </w:t>
            </w:r>
            <w:r>
              <w:rPr>
                <w:rFonts w:hint="default"/>
                <w:i/>
                <w:lang w:eastAsia="zh-CN"/>
              </w:rPr>
              <w:t>operating band</w:t>
            </w:r>
            <w:r>
              <w:rPr>
                <w:rFonts w:hint="default"/>
                <w:lang w:eastAsia="zh-CN"/>
              </w:rPr>
              <w:t xml:space="preserve"> </w:t>
            </w:r>
            <w:r>
              <w:rPr>
                <w:rFonts w:hint="default"/>
                <w:lang w:val="en-US"/>
              </w:rPr>
              <w:t xml:space="preserve">(D.7) </w:t>
            </w:r>
            <w:r>
              <w:rPr>
                <w:rFonts w:hint="default"/>
              </w:rPr>
              <w:t xml:space="preserve">instead of 100 MHz </w:t>
            </w:r>
            <w:r>
              <w:rPr>
                <w:rFonts w:hint="default"/>
                <w:i/>
              </w:rPr>
              <w:t>BS channel bandwidth</w:t>
            </w:r>
            <w:r>
              <w:rPr>
                <w:rFonts w:hint="default"/>
              </w:rPr>
              <w:t xml:space="preserve"> in certain regions, where spectrum allocation and regulation require testing with 50 MHz.</w:t>
            </w:r>
          </w:p>
          <w:p w14:paraId="52F5B7C8">
            <w:pPr>
              <w:pStyle w:val="50"/>
              <w:suppressLineNumbers w:val="0"/>
              <w:spacing w:before="0" w:beforeAutospacing="0" w:afterAutospacing="0"/>
              <w:ind w:right="0"/>
              <w:rPr>
                <w:rFonts w:hint="default"/>
                <w:lang w:val="en-US"/>
              </w:rPr>
            </w:pPr>
            <w:r>
              <w:rPr>
                <w:rFonts w:hint="default"/>
                <w:lang w:val="en-US"/>
              </w:rPr>
              <w:t>NOTE 2:</w:t>
            </w:r>
            <w:r>
              <w:rPr>
                <w:rFonts w:hint="default"/>
                <w:lang w:val="en-US"/>
              </w:rPr>
              <w:tab/>
            </w:r>
            <w:r>
              <w:rPr>
                <w:rFonts w:hint="default"/>
                <w:lang w:val="en-US"/>
              </w:rPr>
              <w:t xml:space="preserve">If this </w:t>
            </w:r>
            <w:r>
              <w:rPr>
                <w:rFonts w:hint="default"/>
                <w:i/>
                <w:lang w:val="en-US"/>
              </w:rPr>
              <w:t>BS channel bandwidth</w:t>
            </w:r>
            <w:r>
              <w:rPr>
                <w:rFonts w:hint="default"/>
                <w:lang w:val="en-US"/>
              </w:rPr>
              <w:t xml:space="preserve"> is not supported, the narrowest supported </w:t>
            </w:r>
            <w:r>
              <w:rPr>
                <w:rFonts w:hint="default"/>
                <w:i/>
                <w:lang w:val="en-US"/>
              </w:rPr>
              <w:t>BS channel bandwidth</w:t>
            </w:r>
            <w:r>
              <w:rPr>
                <w:rFonts w:hint="default"/>
                <w:lang w:val="en-US"/>
              </w:rPr>
              <w:t xml:space="preserve"> </w:t>
            </w:r>
            <w:r>
              <w:rPr>
                <w:rFonts w:hint="default"/>
                <w:lang w:eastAsia="zh-CN"/>
              </w:rPr>
              <w:t xml:space="preserve">declared per </w:t>
            </w:r>
            <w:r>
              <w:rPr>
                <w:rFonts w:hint="default"/>
                <w:i/>
                <w:lang w:eastAsia="zh-CN"/>
              </w:rPr>
              <w:t>operating band</w:t>
            </w:r>
            <w:r>
              <w:rPr>
                <w:rFonts w:hint="default"/>
                <w:lang w:eastAsia="zh-CN"/>
              </w:rPr>
              <w:t xml:space="preserve"> (D.7) </w:t>
            </w:r>
            <w:r>
              <w:rPr>
                <w:rFonts w:hint="default"/>
                <w:lang w:val="en-US"/>
              </w:rPr>
              <w:t>shall be used.</w:t>
            </w:r>
          </w:p>
        </w:tc>
      </w:tr>
    </w:tbl>
    <w:p w14:paraId="52365BD4">
      <w:pPr>
        <w:pStyle w:val="36"/>
        <w:numPr>
          <w:ilvl w:val="0"/>
          <w:numId w:val="0"/>
        </w:numPr>
        <w:overflowPunct/>
        <w:autoSpaceDE/>
        <w:autoSpaceDN/>
        <w:adjustRightInd/>
        <w:spacing w:after="120" w:line="259" w:lineRule="auto"/>
        <w:textAlignment w:val="auto"/>
        <w:rPr>
          <w:rFonts w:hint="default"/>
          <w:szCs w:val="24"/>
          <w:lang w:val="en-US" w:eastAsia="zh-CN"/>
        </w:rPr>
      </w:pPr>
    </w:p>
    <w:p w14:paraId="11539899">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b/>
          <w:bCs/>
          <w:szCs w:val="24"/>
          <w:lang w:val="en-US" w:eastAsia="zh-CN"/>
        </w:rPr>
        <w:t>Proposal 2</w:t>
      </w:r>
      <w:r>
        <w:rPr>
          <w:rFonts w:hint="eastAsia"/>
          <w:szCs w:val="24"/>
          <w:lang w:val="en-US" w:eastAsia="zh-CN"/>
        </w:rPr>
        <w:t xml:space="preserve">: regarding the </w:t>
      </w:r>
      <w:r>
        <w:rPr>
          <w:sz w:val="20"/>
          <w:szCs w:val="10"/>
          <w:lang w:val="en-US"/>
        </w:rPr>
        <w:t>declaration and flexibility</w:t>
      </w:r>
      <w:r>
        <w:rPr>
          <w:rFonts w:hint="eastAsia"/>
          <w:sz w:val="20"/>
          <w:szCs w:val="10"/>
          <w:lang w:val="en-US" w:eastAsia="zh-CN"/>
        </w:rPr>
        <w:t xml:space="preserve"> for SBFD operation, we propose to define the conformance testing as following way:</w:t>
      </w:r>
      <w:r>
        <w:rPr>
          <w:rFonts w:hint="eastAsia"/>
          <w:szCs w:val="24"/>
          <w:lang w:val="en-US" w:eastAsia="zh-CN"/>
        </w:rPr>
        <w:t xml:space="preserve"> </w:t>
      </w:r>
    </w:p>
    <w:p w14:paraId="16EEDBBB">
      <w:pPr>
        <w:pStyle w:val="36"/>
        <w:numPr>
          <w:ilvl w:val="0"/>
          <w:numId w:val="4"/>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FR1 WA BS capable of SBFD operation, BS need to declare its supported SBFD configuration and test all of these SBFD configuration; </w:t>
      </w:r>
    </w:p>
    <w:p w14:paraId="65D9A9D5">
      <w:pPr>
        <w:pStyle w:val="36"/>
        <w:numPr>
          <w:ilvl w:val="0"/>
          <w:numId w:val="4"/>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 xml:space="preserve">For other BS class capable of SBFD operation, BS need to declare its supported SBFD configuration and only test the worst case which follows the legacy principle (e.g. typical transmission bandwidth (5MHz or 20MHz) or minimum supported DL sub-band configuration) </w:t>
      </w:r>
    </w:p>
    <w:p w14:paraId="6BB166D9">
      <w:pPr>
        <w:pStyle w:val="36"/>
        <w:numPr>
          <w:ilvl w:val="0"/>
          <w:numId w:val="0"/>
        </w:numPr>
        <w:overflowPunct/>
        <w:autoSpaceDE/>
        <w:autoSpaceDN/>
        <w:adjustRightInd/>
        <w:spacing w:after="120" w:line="259" w:lineRule="auto"/>
        <w:textAlignment w:val="auto"/>
        <w:rPr>
          <w:rFonts w:hint="default"/>
          <w:szCs w:val="24"/>
          <w:lang w:val="en-US" w:eastAsia="zh-CN"/>
        </w:rPr>
      </w:pPr>
    </w:p>
    <w:p w14:paraId="0DDE2984">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 xml:space="preserve">Issue 1-3-2: </w:t>
      </w:r>
      <w:bookmarkStart w:id="14" w:name="_Hlk182407354"/>
      <w:r>
        <w:rPr>
          <w:sz w:val="20"/>
          <w:szCs w:val="10"/>
          <w:lang w:val="en-US"/>
        </w:rPr>
        <w:t>DL/UL subband configurations support for SBFD</w:t>
      </w:r>
      <w:bookmarkEnd w:id="14"/>
    </w:p>
    <w:p w14:paraId="48B6986C">
      <w:pPr>
        <w:spacing w:after="120" w:line="259" w:lineRule="auto"/>
        <w:rPr>
          <w:lang w:val="en-US"/>
        </w:rPr>
      </w:pPr>
      <w:bookmarkStart w:id="15" w:name="_Hlk183098781"/>
      <w:r>
        <w:rPr>
          <w:highlight w:val="green"/>
          <w:lang w:val="en-US"/>
        </w:rPr>
        <w:t>Agreement:</w:t>
      </w:r>
    </w:p>
    <w:p w14:paraId="20024F50">
      <w:pPr>
        <w:pStyle w:val="36"/>
        <w:numPr>
          <w:ilvl w:val="0"/>
          <w:numId w:val="2"/>
        </w:numPr>
        <w:overflowPunct/>
        <w:autoSpaceDE/>
        <w:autoSpaceDN/>
        <w:adjustRightInd/>
        <w:spacing w:after="120" w:line="259" w:lineRule="auto"/>
        <w:ind w:firstLineChars="0"/>
        <w:textAlignment w:val="auto"/>
        <w:rPr>
          <w:lang w:val="en-US"/>
        </w:rPr>
      </w:pPr>
      <w:r>
        <w:rPr>
          <w:lang w:val="en-US"/>
        </w:rPr>
        <w:t xml:space="preserve">For Rel-19, option 2b is adopted, with the following restrictions on SBFD configuration: </w:t>
      </w:r>
    </w:p>
    <w:p w14:paraId="13A96F01">
      <w:pPr>
        <w:pStyle w:val="36"/>
        <w:numPr>
          <w:ilvl w:val="1"/>
          <w:numId w:val="2"/>
        </w:numPr>
        <w:overflowPunct/>
        <w:autoSpaceDE/>
        <w:autoSpaceDN/>
        <w:adjustRightInd/>
        <w:spacing w:after="120" w:line="259" w:lineRule="auto"/>
        <w:ind w:firstLineChars="0"/>
        <w:textAlignment w:val="auto"/>
        <w:rPr>
          <w:lang w:val="en-US"/>
        </w:rPr>
      </w:pPr>
      <w:r>
        <w:rPr>
          <w:rFonts w:eastAsia="宋体"/>
          <w:szCs w:val="24"/>
          <w:lang w:eastAsia="zh-CN"/>
        </w:rPr>
        <w:t>For DUD case, the UL subband should be placed in the middle of channel bandwidth, i.e., symmetric DUD</w:t>
      </w:r>
    </w:p>
    <w:p w14:paraId="66144304">
      <w:pPr>
        <w:pStyle w:val="36"/>
        <w:numPr>
          <w:ilvl w:val="2"/>
          <w:numId w:val="2"/>
        </w:numPr>
        <w:overflowPunct/>
        <w:autoSpaceDE/>
        <w:autoSpaceDN/>
        <w:adjustRightInd/>
        <w:spacing w:after="120" w:line="259" w:lineRule="auto"/>
        <w:ind w:firstLineChars="0"/>
        <w:textAlignment w:val="auto"/>
        <w:rPr>
          <w:lang w:val="en-US"/>
        </w:rPr>
      </w:pPr>
      <w:r>
        <w:rPr>
          <w:rFonts w:eastAsia="宋体"/>
          <w:szCs w:val="24"/>
          <w:lang w:eastAsia="zh-CN"/>
        </w:rPr>
        <w:t>DL subband 1 and DL subband 2 shall have the same size or different sizes by only 1RB</w:t>
      </w:r>
    </w:p>
    <w:p w14:paraId="325BDF7F">
      <w:pPr>
        <w:pStyle w:val="36"/>
        <w:numPr>
          <w:ilvl w:val="1"/>
          <w:numId w:val="2"/>
        </w:numPr>
        <w:overflowPunct/>
        <w:autoSpaceDE/>
        <w:autoSpaceDN/>
        <w:adjustRightInd/>
        <w:spacing w:after="120" w:line="259" w:lineRule="auto"/>
        <w:ind w:firstLineChars="0"/>
        <w:textAlignment w:val="auto"/>
        <w:rPr>
          <w:lang w:val="en-US"/>
        </w:rPr>
      </w:pPr>
      <w:r>
        <w:rPr>
          <w:lang w:val="en-US"/>
        </w:rPr>
        <w:t>For a specific channel BW supported</w:t>
      </w:r>
      <w:r>
        <w:rPr>
          <w:rFonts w:eastAsia="宋体"/>
          <w:lang w:val="en-US" w:eastAsia="zh-CN"/>
        </w:rPr>
        <w:t xml:space="preserve"> for SBFD</w:t>
      </w:r>
      <w:r>
        <w:rPr>
          <w:lang w:val="en-US"/>
        </w:rPr>
        <w:t>, maximum [2 or 3] specific UL subband sizes are allowed to be declared and shall be selected from the channel bandwidth sizes from Table 5.3.2-1 in TS38.104.</w:t>
      </w:r>
    </w:p>
    <w:p w14:paraId="710BCFD1">
      <w:pPr>
        <w:pStyle w:val="36"/>
        <w:numPr>
          <w:ilvl w:val="2"/>
          <w:numId w:val="2"/>
        </w:numPr>
        <w:overflowPunct/>
        <w:autoSpaceDE/>
        <w:autoSpaceDN/>
        <w:adjustRightInd/>
        <w:spacing w:after="120" w:line="259" w:lineRule="auto"/>
        <w:ind w:firstLineChars="0"/>
        <w:textAlignment w:val="auto"/>
        <w:rPr>
          <w:lang w:val="en-US"/>
        </w:rPr>
      </w:pPr>
      <w:r>
        <w:rPr>
          <w:lang w:val="en-US"/>
        </w:rPr>
        <w:t>FFS different sizes</w:t>
      </w:r>
      <w:r>
        <w:rPr>
          <w:rFonts w:eastAsia="宋体"/>
          <w:lang w:val="en-US" w:eastAsia="zh-CN"/>
        </w:rPr>
        <w:t xml:space="preserve"> for specific UL subband</w:t>
      </w:r>
      <w:r>
        <w:rPr>
          <w:lang w:val="en-US"/>
        </w:rPr>
        <w:t xml:space="preserve"> for DUD and DU/UD.</w:t>
      </w:r>
    </w:p>
    <w:p w14:paraId="6D307072">
      <w:pPr>
        <w:pStyle w:val="36"/>
        <w:numPr>
          <w:ilvl w:val="2"/>
          <w:numId w:val="2"/>
        </w:numPr>
        <w:overflowPunct/>
        <w:autoSpaceDE/>
        <w:autoSpaceDN/>
        <w:adjustRightInd/>
        <w:spacing w:after="120" w:line="259" w:lineRule="auto"/>
        <w:ind w:firstLineChars="0"/>
        <w:textAlignment w:val="auto"/>
        <w:rPr>
          <w:lang w:val="en-US"/>
        </w:rPr>
      </w:pPr>
      <w:r>
        <w:rPr>
          <w:lang w:val="en-US"/>
        </w:rPr>
        <w:t>No further restriction is needed on the range of the ratio of the UL subband size relative to the channel bandwidth.</w:t>
      </w:r>
    </w:p>
    <w:p w14:paraId="634EADD5">
      <w:pPr>
        <w:pStyle w:val="36"/>
        <w:numPr>
          <w:ilvl w:val="2"/>
          <w:numId w:val="2"/>
        </w:numPr>
        <w:overflowPunct/>
        <w:autoSpaceDE/>
        <w:autoSpaceDN/>
        <w:adjustRightInd/>
        <w:spacing w:after="120" w:line="259" w:lineRule="auto"/>
        <w:ind w:firstLineChars="0"/>
        <w:textAlignment w:val="auto"/>
        <w:rPr>
          <w:lang w:val="en-US"/>
        </w:rPr>
      </w:pPr>
      <w:r>
        <w:rPr>
          <w:lang w:val="en-US"/>
        </w:rPr>
        <w:t>This restriction shall be applied to FR1 WA BS only, as the starting point</w:t>
      </w:r>
    </w:p>
    <w:p w14:paraId="5C6FBFB6">
      <w:pPr>
        <w:pStyle w:val="36"/>
        <w:numPr>
          <w:ilvl w:val="3"/>
          <w:numId w:val="2"/>
        </w:numPr>
        <w:overflowPunct/>
        <w:autoSpaceDE/>
        <w:autoSpaceDN/>
        <w:adjustRightInd/>
        <w:spacing w:after="120" w:line="259" w:lineRule="auto"/>
        <w:ind w:firstLineChars="0"/>
        <w:textAlignment w:val="auto"/>
        <w:rPr>
          <w:lang w:val="en-US"/>
        </w:rPr>
      </w:pPr>
      <w:r>
        <w:rPr>
          <w:lang w:val="en-US"/>
        </w:rPr>
        <w:t>FFS the restriction is also applied to FR1 MR BS</w:t>
      </w:r>
    </w:p>
    <w:p w14:paraId="461A8235">
      <w:pPr>
        <w:pStyle w:val="36"/>
        <w:numPr>
          <w:ilvl w:val="1"/>
          <w:numId w:val="2"/>
        </w:numPr>
        <w:overflowPunct/>
        <w:autoSpaceDE/>
        <w:autoSpaceDN/>
        <w:adjustRightInd/>
        <w:spacing w:after="120" w:line="259" w:lineRule="auto"/>
        <w:ind w:firstLineChars="0"/>
        <w:textAlignment w:val="auto"/>
        <w:rPr>
          <w:lang w:val="en-US"/>
        </w:rPr>
      </w:pPr>
      <w:r>
        <w:rPr>
          <w:lang w:val="en-US"/>
        </w:rPr>
        <w:t>For a specific channel BW and a specific UL subband size supported, only one DL subband size is allowed to be declared and tested for DU/UD case, and only one DL subband size is allowed to be declared and tested for DUD case</w:t>
      </w:r>
    </w:p>
    <w:p w14:paraId="020203F9">
      <w:pPr>
        <w:pStyle w:val="36"/>
        <w:numPr>
          <w:ilvl w:val="2"/>
          <w:numId w:val="2"/>
        </w:numPr>
        <w:overflowPunct/>
        <w:autoSpaceDE/>
        <w:autoSpaceDN/>
        <w:adjustRightInd/>
        <w:spacing w:after="120" w:line="259" w:lineRule="auto"/>
        <w:ind w:firstLineChars="0"/>
        <w:textAlignment w:val="auto"/>
        <w:rPr>
          <w:lang w:val="en-US"/>
        </w:rPr>
      </w:pPr>
      <w:r>
        <w:rPr>
          <w:lang w:val="en-US"/>
        </w:rPr>
        <w:t>This restriction shall be applied to FR1 WA BS only, as the starting point</w:t>
      </w:r>
    </w:p>
    <w:p w14:paraId="225F1D55">
      <w:pPr>
        <w:pStyle w:val="36"/>
        <w:numPr>
          <w:ilvl w:val="3"/>
          <w:numId w:val="2"/>
        </w:numPr>
        <w:overflowPunct/>
        <w:autoSpaceDE/>
        <w:autoSpaceDN/>
        <w:adjustRightInd/>
        <w:spacing w:after="120" w:line="259" w:lineRule="auto"/>
        <w:ind w:firstLineChars="0"/>
        <w:textAlignment w:val="auto"/>
        <w:rPr>
          <w:lang w:val="en-US"/>
        </w:rPr>
      </w:pPr>
      <w:r>
        <w:rPr>
          <w:rFonts w:hint="eastAsia"/>
          <w:lang w:val="en-US"/>
        </w:rPr>
        <w:t>F</w:t>
      </w:r>
      <w:r>
        <w:rPr>
          <w:lang w:val="en-US"/>
        </w:rPr>
        <w:t>FS the restriction is also applied to FR1 MR BS</w:t>
      </w:r>
    </w:p>
    <w:bookmarkEnd w:id="15"/>
    <w:p w14:paraId="141FF562">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Regarding the maximum specific UL sub-band size, it is still open. From our understanding, we don</w:t>
      </w:r>
      <w:r>
        <w:rPr>
          <w:rFonts w:hint="default"/>
          <w:szCs w:val="24"/>
          <w:lang w:val="en-US" w:eastAsia="zh-CN"/>
        </w:rPr>
        <w:t>’</w:t>
      </w:r>
      <w:r>
        <w:rPr>
          <w:rFonts w:hint="eastAsia"/>
          <w:szCs w:val="24"/>
          <w:lang w:val="en-US" w:eastAsia="zh-CN"/>
        </w:rPr>
        <w:t xml:space="preserve">t see the necessity to restrict to 2 specific UL sub-band. From the standardization perspective, to specify the maximum UL sub-band size as 3 could leave more flexibility for manufacture declaration if it is capable to support. </w:t>
      </w:r>
    </w:p>
    <w:p w14:paraId="1E436A48">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3</w:t>
      </w:r>
      <w:r>
        <w:rPr>
          <w:rFonts w:hint="eastAsia"/>
          <w:szCs w:val="24"/>
          <w:lang w:val="en-US" w:eastAsia="zh-CN"/>
        </w:rPr>
        <w:t xml:space="preserve">: regarding the </w:t>
      </w:r>
      <w:r>
        <w:rPr>
          <w:sz w:val="20"/>
          <w:szCs w:val="10"/>
          <w:lang w:val="en-US"/>
        </w:rPr>
        <w:t>DL/UL subband configurations support for SBFD</w:t>
      </w:r>
      <w:r>
        <w:rPr>
          <w:rFonts w:hint="eastAsia"/>
          <w:sz w:val="20"/>
          <w:szCs w:val="10"/>
          <w:lang w:val="en-US" w:eastAsia="zh-CN"/>
        </w:rPr>
        <w:t xml:space="preserve">, to set the maximum UL sub-band size as 3. </w:t>
      </w:r>
    </w:p>
    <w:p w14:paraId="15817909">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1-3-6: Other restriction on DL subband size</w:t>
      </w:r>
    </w:p>
    <w:p w14:paraId="230CF90E">
      <w:pPr>
        <w:spacing w:after="120" w:line="259" w:lineRule="auto"/>
        <w:rPr>
          <w:lang w:val="en-US"/>
        </w:rPr>
      </w:pPr>
      <w:r>
        <w:rPr>
          <w:lang w:val="en-US"/>
        </w:rPr>
        <w:t>Way Forward:</w:t>
      </w:r>
    </w:p>
    <w:p w14:paraId="43BB5D0F">
      <w:pPr>
        <w:pStyle w:val="36"/>
        <w:numPr>
          <w:ilvl w:val="0"/>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F</w:t>
      </w:r>
      <w:r>
        <w:rPr>
          <w:rFonts w:eastAsia="宋体"/>
          <w:szCs w:val="24"/>
          <w:lang w:eastAsia="zh-CN"/>
        </w:rPr>
        <w:t xml:space="preserve">FS the following restriction on DL subband size: </w:t>
      </w:r>
    </w:p>
    <w:p w14:paraId="05EDF387">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SBFD, at least one DL SB BW should be no less than (SSB BW + sync raster step size).</w:t>
      </w:r>
    </w:p>
    <w:p w14:paraId="14A424D0">
      <w:pPr>
        <w:pStyle w:val="36"/>
        <w:numPr>
          <w:ilvl w:val="1"/>
          <w:numId w:val="2"/>
        </w:numPr>
        <w:overflowPunct/>
        <w:autoSpaceDE/>
        <w:autoSpaceDN/>
        <w:adjustRightInd/>
        <w:spacing w:after="120" w:line="259" w:lineRule="auto"/>
        <w:ind w:firstLineChars="0"/>
        <w:textAlignment w:val="auto"/>
        <w:rPr>
          <w:szCs w:val="24"/>
          <w:lang w:eastAsia="zh-CN"/>
        </w:rPr>
      </w:pPr>
      <w:r>
        <w:rPr>
          <w:rFonts w:eastAsia="宋体"/>
          <w:szCs w:val="24"/>
          <w:lang w:eastAsia="zh-CN"/>
        </w:rPr>
        <w:t>FR2 minimum CBW to support SBFD is 100MHz.</w:t>
      </w:r>
    </w:p>
    <w:p w14:paraId="34BC4C5D">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szCs w:val="24"/>
          <w:lang w:val="en-US" w:eastAsia="zh-CN"/>
        </w:rPr>
        <w:t>The above proposal is mainly motivated by sub-band DL symbols overlapping with SSB symbols in the time domain, if this is overlapped, then such minimum channel bandwidth restriction is needed, however SBFD symbols could also overlap with other DL symbols. In short, we don</w:t>
      </w:r>
      <w:r>
        <w:rPr>
          <w:rFonts w:hint="default"/>
          <w:szCs w:val="24"/>
          <w:lang w:val="en-US" w:eastAsia="zh-CN"/>
        </w:rPr>
        <w:t>’</w:t>
      </w:r>
      <w:r>
        <w:rPr>
          <w:rFonts w:hint="eastAsia"/>
          <w:szCs w:val="24"/>
          <w:lang w:val="en-US" w:eastAsia="zh-CN"/>
        </w:rPr>
        <w:t xml:space="preserve">t see the necessity to mandate such kind of restriction for DL sub-band. This should be totally up to the manufacture declaration. </w:t>
      </w:r>
    </w:p>
    <w:p w14:paraId="574E2113">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4</w:t>
      </w:r>
      <w:r>
        <w:rPr>
          <w:rFonts w:hint="eastAsia"/>
          <w:szCs w:val="24"/>
          <w:lang w:val="en-US" w:eastAsia="zh-CN"/>
        </w:rPr>
        <w:t>: propose not to mandate the additional restriction for DL sub-band band.</w:t>
      </w:r>
      <w:r>
        <w:rPr>
          <w:rFonts w:hint="eastAsia"/>
          <w:sz w:val="20"/>
          <w:szCs w:val="10"/>
          <w:lang w:val="en-US" w:eastAsia="zh-CN"/>
        </w:rPr>
        <w:t xml:space="preserve"> </w:t>
      </w:r>
    </w:p>
    <w:p w14:paraId="2620CE87">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2-1-1: RF requirement impact for PUSCH with resource muting</w:t>
      </w:r>
    </w:p>
    <w:p w14:paraId="352E7DE0">
      <w:pPr>
        <w:spacing w:after="120" w:line="259" w:lineRule="auto"/>
        <w:rPr>
          <w:lang w:val="en-US"/>
        </w:rPr>
      </w:pPr>
      <w:r>
        <w:rPr>
          <w:lang w:val="en-US"/>
        </w:rPr>
        <w:t>Way Forward:</w:t>
      </w:r>
    </w:p>
    <w:p w14:paraId="539FC59A">
      <w:pPr>
        <w:pStyle w:val="36"/>
        <w:numPr>
          <w:ilvl w:val="0"/>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the RF requirement </w:t>
      </w:r>
      <w:r>
        <w:rPr>
          <w:lang w:val="en-US"/>
        </w:rPr>
        <w:t xml:space="preserve">impact, if any, due to UL resource muting introduced in RAN1. </w:t>
      </w:r>
    </w:p>
    <w:p w14:paraId="5B1C6C0E">
      <w:pPr>
        <w:pStyle w:val="36"/>
        <w:numPr>
          <w:ilvl w:val="0"/>
          <w:numId w:val="0"/>
        </w:numPr>
        <w:overflowPunct/>
        <w:autoSpaceDE/>
        <w:autoSpaceDN/>
        <w:adjustRightInd/>
        <w:spacing w:after="120" w:line="259" w:lineRule="auto"/>
        <w:textAlignment w:val="auto"/>
        <w:rPr>
          <w:rFonts w:hint="eastAsia"/>
          <w:szCs w:val="24"/>
          <w:lang w:val="en-US" w:eastAsia="zh-CN"/>
        </w:rPr>
      </w:pPr>
      <w:r>
        <w:rPr>
          <w:rFonts w:hint="eastAsia"/>
          <w:szCs w:val="24"/>
          <w:lang w:val="en-US" w:eastAsia="zh-CN"/>
        </w:rPr>
        <w:t xml:space="preserve">The above proposal might have the impacts on RAN4 MPR evaluation if UL resource muting introduced in RAN1. </w:t>
      </w:r>
    </w:p>
    <w:p w14:paraId="7D655059">
      <w:pPr>
        <w:pStyle w:val="36"/>
        <w:numPr>
          <w:ilvl w:val="0"/>
          <w:numId w:val="0"/>
        </w:numPr>
        <w:overflowPunct/>
        <w:autoSpaceDE/>
        <w:autoSpaceDN/>
        <w:adjustRightInd/>
        <w:spacing w:after="120" w:line="259" w:lineRule="auto"/>
        <w:textAlignment w:val="auto"/>
        <w:rPr>
          <w:rFonts w:hint="default"/>
          <w:szCs w:val="24"/>
          <w:lang w:val="en-US" w:eastAsia="zh-CN"/>
        </w:rPr>
      </w:pPr>
      <w:r>
        <w:rPr>
          <w:rFonts w:hint="eastAsia"/>
          <w:b/>
          <w:bCs/>
          <w:szCs w:val="24"/>
          <w:lang w:val="en-US" w:eastAsia="zh-CN"/>
        </w:rPr>
        <w:t>Proposal 5</w:t>
      </w:r>
      <w:r>
        <w:rPr>
          <w:rFonts w:hint="eastAsia"/>
          <w:szCs w:val="24"/>
          <w:lang w:val="en-US" w:eastAsia="zh-CN"/>
        </w:rPr>
        <w:t>: propose to further discuss the corresponding MPR requirement for UL resource muting solution if specified by RAN1.</w:t>
      </w:r>
    </w:p>
    <w:p w14:paraId="5A4D5800">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textAlignment w:val="baseline"/>
        <w:outlineLvl w:val="1"/>
        <w:rPr>
          <w:sz w:val="20"/>
          <w:szCs w:val="10"/>
          <w:lang w:val="en-US"/>
        </w:rPr>
      </w:pPr>
      <w:r>
        <w:rPr>
          <w:rFonts w:hint="default"/>
          <w:sz w:val="20"/>
          <w:szCs w:val="10"/>
          <w:lang w:val="en-US" w:eastAsia="zh-CN"/>
        </w:rPr>
        <w:br w:type="textWrapping"/>
      </w:r>
      <w:r>
        <w:rPr>
          <w:sz w:val="20"/>
          <w:szCs w:val="10"/>
          <w:lang w:val="en-US"/>
        </w:rPr>
        <w:t>Issue 2-1-3: Location of transient period between SBFD and non-SBFD</w:t>
      </w:r>
    </w:p>
    <w:p w14:paraId="01F45A5F">
      <w:pPr>
        <w:jc w:val="both"/>
        <w:rPr>
          <w:rFonts w:hint="default"/>
          <w:lang w:val="en-US" w:eastAsia="zh-CN"/>
        </w:rPr>
      </w:pPr>
      <w:r>
        <w:rPr>
          <w:rFonts w:hint="eastAsia"/>
          <w:lang w:val="en-US" w:eastAsia="zh-CN"/>
        </w:rPr>
        <w:t xml:space="preserve">Based on the discussions in the previous meetings, the location of transient period between SFBD and non-SBFD symbols is not determined yet and the necessity of this requirement is also debatable so far. At least from our understanding, the transition period should be located within SBFD symbols instead of non-SBFD symbols to avoid the negative impacts on the legacy UE reception. It is well known that, during the BS Tx OFF-ON or ON-OFF, the transmitter signal quality within the transition period cannot be guaranteed properly. Usually from UE receiver demodulation perspective, the corrupted soft information should be dropped before feeding into the LPDC/Polar decoder. For the SBFD aware UE, UE could know the location of the transition period by the TDD DL-UL configuration and additional SBFD configuration in RRC inf, then the corrupted soft information could be dropped within the estimated window length and baseband performance could be ensured somehow. If the transition period is located within the non-SBFD symbols or across the non-SBFD symbols and SBFD symbols, then the performance degradation for non-SBFD symbols will be expected. In short, we propose to have the transition period between non-SFBD symbols and SBFD symbols located within SBFD symbols. </w:t>
      </w:r>
    </w:p>
    <w:p w14:paraId="20E68F3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784340" cy="1195070"/>
            <wp:effectExtent l="0" t="0" r="0" b="381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6784340" cy="1195070"/>
                    </a:xfrm>
                    <a:prstGeom prst="rect">
                      <a:avLst/>
                    </a:prstGeom>
                    <a:noFill/>
                    <a:ln w="9525">
                      <a:noFill/>
                    </a:ln>
                  </pic:spPr>
                </pic:pic>
              </a:graphicData>
            </a:graphic>
          </wp:inline>
        </w:drawing>
      </w:r>
    </w:p>
    <w:p w14:paraId="5DA5FD4F">
      <w:pPr>
        <w:jc w:val="center"/>
        <w:rPr>
          <w:rFonts w:hint="default"/>
          <w:lang w:val="en-US" w:eastAsia="zh-CN"/>
        </w:rPr>
      </w:pPr>
      <w:r>
        <w:rPr>
          <w:rFonts w:hint="eastAsia"/>
          <w:lang w:val="en-US" w:eastAsia="zh-CN"/>
        </w:rPr>
        <w:t>Figure 2.1.3-1. the location of transition period between SBFD and non-SBFD symbols</w:t>
      </w:r>
    </w:p>
    <w:p w14:paraId="03A139F9">
      <w:pPr>
        <w:jc w:val="both"/>
        <w:rPr>
          <w:rFonts w:hint="default"/>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14:paraId="51C31D4E">
      <w:pPr>
        <w:pStyle w:val="57"/>
        <w:tabs>
          <w:tab w:val="left" w:pos="567"/>
          <w:tab w:val="clear" w:pos="1985"/>
        </w:tabs>
        <w:adjustRightInd w:val="0"/>
        <w:ind w:left="510" w:hanging="510"/>
      </w:pPr>
      <w:r>
        <w:t>Conclusions</w:t>
      </w:r>
    </w:p>
    <w:p w14:paraId="453CABC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further views on general aspects for SBFD BS and </w:t>
      </w:r>
      <w:r>
        <w:rPr>
          <w:rFonts w:hint="eastAsia" w:cs="Times New Roman"/>
          <w:sz w:val="20"/>
          <w:szCs w:val="20"/>
          <w:lang w:val="en-US" w:eastAsia="zh-CN"/>
        </w:rPr>
        <w:t>proposals/observations are made as following:</w:t>
      </w:r>
    </w:p>
    <w:p w14:paraId="55034D05">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Cs w:val="24"/>
          <w:lang w:val="en-US" w:eastAsia="zh-CN"/>
        </w:rPr>
      </w:pPr>
      <w:r>
        <w:rPr>
          <w:rFonts w:hint="eastAsia"/>
          <w:b/>
          <w:bCs/>
          <w:szCs w:val="24"/>
          <w:lang w:val="en-US" w:eastAsia="zh-CN"/>
        </w:rPr>
        <w:t>Proposal 1</w:t>
      </w:r>
      <w:r>
        <w:rPr>
          <w:rFonts w:hint="eastAsia"/>
          <w:szCs w:val="24"/>
          <w:lang w:val="en-US" w:eastAsia="zh-CN"/>
        </w:rPr>
        <w:t xml:space="preserve">: propose not to have the additional note in band table 5.2-1 to indicate the NR TDD bands not applicable to SBFD operation. </w:t>
      </w:r>
    </w:p>
    <w:p w14:paraId="64FDDB3D">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2</w:t>
      </w:r>
      <w:r>
        <w:rPr>
          <w:rFonts w:hint="eastAsia"/>
          <w:lang w:val="en-US" w:eastAsia="zh-CN"/>
        </w:rPr>
        <w:t xml:space="preserve">: propose to have the transition period between non-SFBD symbols and SBFD symbols located within SBFD symbols. </w:t>
      </w:r>
    </w:p>
    <w:p w14:paraId="37D7098C">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Cs w:val="24"/>
          <w:lang w:val="en-US" w:eastAsia="zh-CN"/>
        </w:rPr>
      </w:pPr>
      <w:r>
        <w:rPr>
          <w:rFonts w:hint="eastAsia"/>
          <w:b/>
          <w:bCs/>
          <w:szCs w:val="24"/>
          <w:lang w:val="en-US" w:eastAsia="zh-CN"/>
        </w:rPr>
        <w:t>Proposal 3</w:t>
      </w:r>
      <w:r>
        <w:rPr>
          <w:rFonts w:hint="eastAsia"/>
          <w:szCs w:val="24"/>
          <w:lang w:val="en-US" w:eastAsia="zh-CN"/>
        </w:rPr>
        <w:t xml:space="preserve">: regarding the </w:t>
      </w:r>
      <w:r>
        <w:rPr>
          <w:sz w:val="20"/>
          <w:szCs w:val="10"/>
          <w:lang w:val="en-US"/>
        </w:rPr>
        <w:t>DL/UL subband configurations support for SBFD</w:t>
      </w:r>
      <w:r>
        <w:rPr>
          <w:rFonts w:hint="eastAsia"/>
          <w:sz w:val="20"/>
          <w:szCs w:val="10"/>
          <w:lang w:val="en-US" w:eastAsia="zh-CN"/>
        </w:rPr>
        <w:t xml:space="preserve">, to set the maximum UL sub-band size as 3. </w:t>
      </w:r>
    </w:p>
    <w:p w14:paraId="48C89C39">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Cs w:val="24"/>
          <w:lang w:val="en-US" w:eastAsia="zh-CN"/>
        </w:rPr>
      </w:pPr>
      <w:r>
        <w:rPr>
          <w:rFonts w:hint="eastAsia"/>
          <w:b/>
          <w:bCs/>
          <w:szCs w:val="24"/>
          <w:lang w:val="en-US" w:eastAsia="zh-CN"/>
        </w:rPr>
        <w:t>Proposal 4</w:t>
      </w:r>
      <w:r>
        <w:rPr>
          <w:rFonts w:hint="eastAsia"/>
          <w:szCs w:val="24"/>
          <w:lang w:val="en-US" w:eastAsia="zh-CN"/>
        </w:rPr>
        <w:t>: propose not to mandate the additional restriction for DL sub-band band.</w:t>
      </w:r>
      <w:r>
        <w:rPr>
          <w:rFonts w:hint="eastAsia"/>
          <w:sz w:val="20"/>
          <w:szCs w:val="10"/>
          <w:lang w:val="en-US" w:eastAsia="zh-CN"/>
        </w:rPr>
        <w:t xml:space="preserve"> </w:t>
      </w:r>
    </w:p>
    <w:p w14:paraId="345733B6">
      <w:pPr>
        <w:pStyle w:val="3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Cs w:val="24"/>
          <w:lang w:val="en-US" w:eastAsia="zh-CN"/>
        </w:rPr>
      </w:pPr>
      <w:r>
        <w:rPr>
          <w:rFonts w:hint="eastAsia"/>
          <w:b/>
          <w:bCs/>
          <w:szCs w:val="24"/>
          <w:lang w:val="en-US" w:eastAsia="zh-CN"/>
        </w:rPr>
        <w:t>Proposal 5</w:t>
      </w:r>
      <w:r>
        <w:rPr>
          <w:rFonts w:hint="eastAsia"/>
          <w:szCs w:val="24"/>
          <w:lang w:val="en-US" w:eastAsia="zh-CN"/>
        </w:rPr>
        <w:t>: propose to further discuss the corresponding MPR requirement for UL resource muting solution if specified by RAN1.</w:t>
      </w:r>
    </w:p>
    <w:p w14:paraId="26A7D3D5">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szCs w:val="24"/>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14:paraId="5A95FC69">
      <w:pPr>
        <w:pStyle w:val="57"/>
        <w:tabs>
          <w:tab w:val="left" w:pos="567"/>
          <w:tab w:val="clear" w:pos="1985"/>
        </w:tabs>
        <w:adjustRightInd w:val="0"/>
        <w:ind w:left="510" w:hanging="510"/>
      </w:pPr>
      <w:r>
        <w:t>References</w:t>
      </w:r>
    </w:p>
    <w:p w14:paraId="4635076B">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14:paraId="228F3A35">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14:paraId="3ADA0879">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14:paraId="5995AC08">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14:paraId="0F32F957">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14:paraId="7BAE00B8">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14:paraId="09F76256">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14:paraId="62767FE8">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14:paraId="5BD1D1E1">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R4-2419907</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R4-2419908</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[113][307] NR_duplex_evo_BSRF, Approved.</w:t>
      </w:r>
    </w:p>
    <w:p w14:paraId="42967A90">
      <w:pPr>
        <w:pStyle w:val="21"/>
        <w:numPr>
          <w:ilvl w:val="0"/>
          <w:numId w:val="0"/>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14:paraId="31796673">
      <w:pPr>
        <w:rPr>
          <w:rStyle w:val="30"/>
          <w:rFonts w:ascii="Times New Roman" w:hAnsi="Times New Roman" w:cs="Times New Roman"/>
          <w:color w:val="auto"/>
          <w:sz w:val="21"/>
          <w:szCs w:val="21"/>
          <w:shd w:val="clear" w:color="auto" w:fill="FFFFFF"/>
        </w:rPr>
      </w:pPr>
    </w:p>
    <w:p w14:paraId="3E8F5CEB">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65FE3">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E2CC9"/>
    <w:multiLevelType w:val="singleLevel"/>
    <w:tmpl w:val="86EE2CC9"/>
    <w:lvl w:ilvl="0" w:tentative="0">
      <w:start w:val="1"/>
      <w:numFmt w:val="decimal"/>
      <w:suff w:val="space"/>
      <w:lvlText w:val="%1)"/>
      <w:lvlJc w:val="left"/>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5C8ED93"/>
    <w:multiLevelType w:val="singleLevel"/>
    <w:tmpl w:val="75C8ED93"/>
    <w:lvl w:ilvl="0" w:tentative="0">
      <w:start w:val="1"/>
      <w:numFmt w:val="decimal"/>
      <w:suff w:val="space"/>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3B9"/>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450D74"/>
    <w:rsid w:val="01522256"/>
    <w:rsid w:val="01586859"/>
    <w:rsid w:val="01594895"/>
    <w:rsid w:val="015C06BF"/>
    <w:rsid w:val="015D1618"/>
    <w:rsid w:val="015F18F2"/>
    <w:rsid w:val="015F5FA3"/>
    <w:rsid w:val="016800B9"/>
    <w:rsid w:val="016B33B4"/>
    <w:rsid w:val="017007C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76AB"/>
    <w:rsid w:val="05010225"/>
    <w:rsid w:val="051034CD"/>
    <w:rsid w:val="0512539C"/>
    <w:rsid w:val="051F43BC"/>
    <w:rsid w:val="0524197F"/>
    <w:rsid w:val="052432F7"/>
    <w:rsid w:val="05280A89"/>
    <w:rsid w:val="052D14A7"/>
    <w:rsid w:val="05367F8C"/>
    <w:rsid w:val="053C34DE"/>
    <w:rsid w:val="053E1AC2"/>
    <w:rsid w:val="053E6829"/>
    <w:rsid w:val="05403ABE"/>
    <w:rsid w:val="0545651B"/>
    <w:rsid w:val="05484FD2"/>
    <w:rsid w:val="05504722"/>
    <w:rsid w:val="05564384"/>
    <w:rsid w:val="05583DC1"/>
    <w:rsid w:val="055A77BF"/>
    <w:rsid w:val="055C5DB2"/>
    <w:rsid w:val="055C75CE"/>
    <w:rsid w:val="05631D30"/>
    <w:rsid w:val="05687505"/>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44B94"/>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07FED"/>
    <w:rsid w:val="05D16BC6"/>
    <w:rsid w:val="05DC2707"/>
    <w:rsid w:val="05E660EA"/>
    <w:rsid w:val="05E73462"/>
    <w:rsid w:val="05EB0F6A"/>
    <w:rsid w:val="05EE3B4E"/>
    <w:rsid w:val="05FA1213"/>
    <w:rsid w:val="05FB01BC"/>
    <w:rsid w:val="05FF3135"/>
    <w:rsid w:val="060030B7"/>
    <w:rsid w:val="060836A6"/>
    <w:rsid w:val="06085010"/>
    <w:rsid w:val="060C4293"/>
    <w:rsid w:val="060C5B07"/>
    <w:rsid w:val="060D249E"/>
    <w:rsid w:val="06111076"/>
    <w:rsid w:val="061146F4"/>
    <w:rsid w:val="06127E49"/>
    <w:rsid w:val="06187334"/>
    <w:rsid w:val="062362D5"/>
    <w:rsid w:val="062734D4"/>
    <w:rsid w:val="062D742E"/>
    <w:rsid w:val="062F67AA"/>
    <w:rsid w:val="06382A58"/>
    <w:rsid w:val="063F20A9"/>
    <w:rsid w:val="064001EE"/>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F6236"/>
    <w:rsid w:val="06F30672"/>
    <w:rsid w:val="06F35A7A"/>
    <w:rsid w:val="06F35AB6"/>
    <w:rsid w:val="06F66B05"/>
    <w:rsid w:val="06FC35DD"/>
    <w:rsid w:val="0702074E"/>
    <w:rsid w:val="0708086F"/>
    <w:rsid w:val="071A77D5"/>
    <w:rsid w:val="071D08AB"/>
    <w:rsid w:val="07220D76"/>
    <w:rsid w:val="07233462"/>
    <w:rsid w:val="072717DA"/>
    <w:rsid w:val="072746E6"/>
    <w:rsid w:val="07277193"/>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5A68"/>
    <w:rsid w:val="07F6635B"/>
    <w:rsid w:val="07F97CF9"/>
    <w:rsid w:val="07FA0BB7"/>
    <w:rsid w:val="0800676F"/>
    <w:rsid w:val="080511A2"/>
    <w:rsid w:val="080F4BCD"/>
    <w:rsid w:val="080F712A"/>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B00AE"/>
    <w:rsid w:val="094109B5"/>
    <w:rsid w:val="09444B9B"/>
    <w:rsid w:val="09467185"/>
    <w:rsid w:val="09470556"/>
    <w:rsid w:val="09486BA4"/>
    <w:rsid w:val="0953050B"/>
    <w:rsid w:val="09546457"/>
    <w:rsid w:val="09573CE0"/>
    <w:rsid w:val="0958129F"/>
    <w:rsid w:val="09582472"/>
    <w:rsid w:val="095C5D9F"/>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15044"/>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EF097A"/>
    <w:rsid w:val="09EF4328"/>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007F3"/>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305A6"/>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37D57"/>
    <w:rsid w:val="0BEC55E4"/>
    <w:rsid w:val="0BEF4F94"/>
    <w:rsid w:val="0BF427F9"/>
    <w:rsid w:val="0BF614B9"/>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73CA6"/>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51E9D"/>
    <w:rsid w:val="0D0612B8"/>
    <w:rsid w:val="0D066A9C"/>
    <w:rsid w:val="0D0714BC"/>
    <w:rsid w:val="0D076826"/>
    <w:rsid w:val="0D0A1D55"/>
    <w:rsid w:val="0D0C08C0"/>
    <w:rsid w:val="0D0F2DCE"/>
    <w:rsid w:val="0D136EF9"/>
    <w:rsid w:val="0D1A52C8"/>
    <w:rsid w:val="0D1C1D16"/>
    <w:rsid w:val="0D21615D"/>
    <w:rsid w:val="0D2454BF"/>
    <w:rsid w:val="0D2767B5"/>
    <w:rsid w:val="0D287B86"/>
    <w:rsid w:val="0D39789E"/>
    <w:rsid w:val="0D3E327E"/>
    <w:rsid w:val="0D3E50C9"/>
    <w:rsid w:val="0D432A3E"/>
    <w:rsid w:val="0D480AA9"/>
    <w:rsid w:val="0D4D56D6"/>
    <w:rsid w:val="0D4D637D"/>
    <w:rsid w:val="0D505C1B"/>
    <w:rsid w:val="0D5800C7"/>
    <w:rsid w:val="0D5B6E86"/>
    <w:rsid w:val="0D604B9B"/>
    <w:rsid w:val="0D63712E"/>
    <w:rsid w:val="0D647BCA"/>
    <w:rsid w:val="0D671DC3"/>
    <w:rsid w:val="0D6A353C"/>
    <w:rsid w:val="0D771AFB"/>
    <w:rsid w:val="0D7969D7"/>
    <w:rsid w:val="0D821B4C"/>
    <w:rsid w:val="0D826C81"/>
    <w:rsid w:val="0D845BD8"/>
    <w:rsid w:val="0D904522"/>
    <w:rsid w:val="0D976014"/>
    <w:rsid w:val="0DA060E8"/>
    <w:rsid w:val="0DA21DEB"/>
    <w:rsid w:val="0DA57AAE"/>
    <w:rsid w:val="0DA67711"/>
    <w:rsid w:val="0DAE2F9F"/>
    <w:rsid w:val="0DB44F15"/>
    <w:rsid w:val="0DB51551"/>
    <w:rsid w:val="0DB76EF8"/>
    <w:rsid w:val="0DB8079D"/>
    <w:rsid w:val="0DBD4932"/>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313B1"/>
    <w:rsid w:val="0E043FF3"/>
    <w:rsid w:val="0E062A96"/>
    <w:rsid w:val="0E0D1A47"/>
    <w:rsid w:val="0E1619F9"/>
    <w:rsid w:val="0E176FCD"/>
    <w:rsid w:val="0E193FCB"/>
    <w:rsid w:val="0E1A4909"/>
    <w:rsid w:val="0E1C0C6C"/>
    <w:rsid w:val="0E2134C9"/>
    <w:rsid w:val="0E232F90"/>
    <w:rsid w:val="0E281319"/>
    <w:rsid w:val="0E2A54B6"/>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26536"/>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D0019"/>
    <w:rsid w:val="0FAD3299"/>
    <w:rsid w:val="0FAD3F5A"/>
    <w:rsid w:val="0FB261C9"/>
    <w:rsid w:val="0FB31343"/>
    <w:rsid w:val="0FB714C3"/>
    <w:rsid w:val="0FC12836"/>
    <w:rsid w:val="0FC427AC"/>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A3BB2"/>
    <w:rsid w:val="116F3C27"/>
    <w:rsid w:val="11703DE0"/>
    <w:rsid w:val="117338ED"/>
    <w:rsid w:val="117561EB"/>
    <w:rsid w:val="11781FEE"/>
    <w:rsid w:val="117824F0"/>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72203"/>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302DA"/>
    <w:rsid w:val="12EC215C"/>
    <w:rsid w:val="12EC296B"/>
    <w:rsid w:val="12ED7EEF"/>
    <w:rsid w:val="12EE6AFD"/>
    <w:rsid w:val="12F25FF2"/>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2DB6"/>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907014"/>
    <w:rsid w:val="149220F8"/>
    <w:rsid w:val="149363B8"/>
    <w:rsid w:val="149E0A7B"/>
    <w:rsid w:val="14A75504"/>
    <w:rsid w:val="14A82A63"/>
    <w:rsid w:val="14A86EA4"/>
    <w:rsid w:val="14AC358C"/>
    <w:rsid w:val="14AD2764"/>
    <w:rsid w:val="14B227CC"/>
    <w:rsid w:val="14B76730"/>
    <w:rsid w:val="14C42DC7"/>
    <w:rsid w:val="14C767C8"/>
    <w:rsid w:val="14C80FD5"/>
    <w:rsid w:val="14D326F5"/>
    <w:rsid w:val="14D57649"/>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2012A"/>
    <w:rsid w:val="15422ACA"/>
    <w:rsid w:val="154D4A84"/>
    <w:rsid w:val="155424D6"/>
    <w:rsid w:val="155605E9"/>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B00CB"/>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37BE1"/>
    <w:rsid w:val="1715378E"/>
    <w:rsid w:val="17172D0A"/>
    <w:rsid w:val="17173F3A"/>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524B4C"/>
    <w:rsid w:val="18533B98"/>
    <w:rsid w:val="185460E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232E6"/>
    <w:rsid w:val="18B417E1"/>
    <w:rsid w:val="18B61C67"/>
    <w:rsid w:val="18C0323C"/>
    <w:rsid w:val="18C53928"/>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CD414F"/>
    <w:rsid w:val="19D01D27"/>
    <w:rsid w:val="19D73048"/>
    <w:rsid w:val="19D76F77"/>
    <w:rsid w:val="19DC3901"/>
    <w:rsid w:val="19DE7440"/>
    <w:rsid w:val="19E45BB3"/>
    <w:rsid w:val="19EA4D01"/>
    <w:rsid w:val="19EA5232"/>
    <w:rsid w:val="19ED386F"/>
    <w:rsid w:val="19F90091"/>
    <w:rsid w:val="19F91F18"/>
    <w:rsid w:val="19FF1298"/>
    <w:rsid w:val="1A03072C"/>
    <w:rsid w:val="1A045B87"/>
    <w:rsid w:val="1A063C11"/>
    <w:rsid w:val="1A0F772D"/>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1F4E7E"/>
    <w:rsid w:val="1B223C37"/>
    <w:rsid w:val="1B2A7E36"/>
    <w:rsid w:val="1B2F42C3"/>
    <w:rsid w:val="1B315167"/>
    <w:rsid w:val="1B324397"/>
    <w:rsid w:val="1B3462E9"/>
    <w:rsid w:val="1B372EB9"/>
    <w:rsid w:val="1B39636C"/>
    <w:rsid w:val="1B3C488F"/>
    <w:rsid w:val="1B40005E"/>
    <w:rsid w:val="1B4268B4"/>
    <w:rsid w:val="1B427936"/>
    <w:rsid w:val="1B585A09"/>
    <w:rsid w:val="1B5D3106"/>
    <w:rsid w:val="1B6720A5"/>
    <w:rsid w:val="1B68108C"/>
    <w:rsid w:val="1B716070"/>
    <w:rsid w:val="1B73181B"/>
    <w:rsid w:val="1B7906CE"/>
    <w:rsid w:val="1B7B0258"/>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96BAD"/>
    <w:rsid w:val="1CBA5B32"/>
    <w:rsid w:val="1CBE0F85"/>
    <w:rsid w:val="1CBE5026"/>
    <w:rsid w:val="1CC1651E"/>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A2C34"/>
    <w:rsid w:val="1D0B731D"/>
    <w:rsid w:val="1D0C28B4"/>
    <w:rsid w:val="1D163452"/>
    <w:rsid w:val="1D1D6A68"/>
    <w:rsid w:val="1D1F1D0C"/>
    <w:rsid w:val="1D1F4CC2"/>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C7780B"/>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22A5"/>
    <w:rsid w:val="1EDB6C5F"/>
    <w:rsid w:val="1EE36B24"/>
    <w:rsid w:val="1EE4433F"/>
    <w:rsid w:val="1EE6740D"/>
    <w:rsid w:val="1EEC1621"/>
    <w:rsid w:val="1EED7A29"/>
    <w:rsid w:val="1F0D14F3"/>
    <w:rsid w:val="1F0E3B92"/>
    <w:rsid w:val="1F120D07"/>
    <w:rsid w:val="1F141EF2"/>
    <w:rsid w:val="1F21282A"/>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04EE"/>
    <w:rsid w:val="1FD35404"/>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420995"/>
    <w:rsid w:val="20447B3E"/>
    <w:rsid w:val="204619A3"/>
    <w:rsid w:val="20463A2C"/>
    <w:rsid w:val="204D7AED"/>
    <w:rsid w:val="204E2A57"/>
    <w:rsid w:val="204F595B"/>
    <w:rsid w:val="2051593C"/>
    <w:rsid w:val="20532924"/>
    <w:rsid w:val="2055294B"/>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C64E4"/>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D5970"/>
    <w:rsid w:val="221E498F"/>
    <w:rsid w:val="222165C4"/>
    <w:rsid w:val="2225227E"/>
    <w:rsid w:val="222A2727"/>
    <w:rsid w:val="222E6801"/>
    <w:rsid w:val="222F381A"/>
    <w:rsid w:val="22315922"/>
    <w:rsid w:val="22343124"/>
    <w:rsid w:val="22352DCD"/>
    <w:rsid w:val="22454AA6"/>
    <w:rsid w:val="22484790"/>
    <w:rsid w:val="224D0005"/>
    <w:rsid w:val="224E39DE"/>
    <w:rsid w:val="224E74D0"/>
    <w:rsid w:val="22510B7D"/>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C55E5"/>
    <w:rsid w:val="240E5D2B"/>
    <w:rsid w:val="24137B5B"/>
    <w:rsid w:val="24176341"/>
    <w:rsid w:val="24194B93"/>
    <w:rsid w:val="241E1F2D"/>
    <w:rsid w:val="24211333"/>
    <w:rsid w:val="242461D7"/>
    <w:rsid w:val="24246A60"/>
    <w:rsid w:val="24255B0A"/>
    <w:rsid w:val="24264B88"/>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A4DC2"/>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422BD"/>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4CB7"/>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172739"/>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6C77E2"/>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E128DC"/>
    <w:rsid w:val="2CE16D71"/>
    <w:rsid w:val="2CE27F26"/>
    <w:rsid w:val="2CED6828"/>
    <w:rsid w:val="2CF4201A"/>
    <w:rsid w:val="2CF8269C"/>
    <w:rsid w:val="2CFD5C64"/>
    <w:rsid w:val="2CFF5200"/>
    <w:rsid w:val="2D0128E8"/>
    <w:rsid w:val="2D0450C7"/>
    <w:rsid w:val="2D0C5A2F"/>
    <w:rsid w:val="2D0E231B"/>
    <w:rsid w:val="2D145154"/>
    <w:rsid w:val="2D1A1A6B"/>
    <w:rsid w:val="2D1A4915"/>
    <w:rsid w:val="2D1C670F"/>
    <w:rsid w:val="2D1E6D44"/>
    <w:rsid w:val="2D210212"/>
    <w:rsid w:val="2D306B85"/>
    <w:rsid w:val="2D313196"/>
    <w:rsid w:val="2D323D75"/>
    <w:rsid w:val="2D371BB4"/>
    <w:rsid w:val="2D3F06B2"/>
    <w:rsid w:val="2D400A9F"/>
    <w:rsid w:val="2D540857"/>
    <w:rsid w:val="2D590555"/>
    <w:rsid w:val="2D617E8E"/>
    <w:rsid w:val="2D726428"/>
    <w:rsid w:val="2D770975"/>
    <w:rsid w:val="2D7A06F1"/>
    <w:rsid w:val="2D8151A4"/>
    <w:rsid w:val="2DA02E9C"/>
    <w:rsid w:val="2DAC4521"/>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D7B83"/>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6941"/>
    <w:rsid w:val="334703EE"/>
    <w:rsid w:val="334D7767"/>
    <w:rsid w:val="334F0B5E"/>
    <w:rsid w:val="33610DDA"/>
    <w:rsid w:val="3362171F"/>
    <w:rsid w:val="3366319E"/>
    <w:rsid w:val="336A11D9"/>
    <w:rsid w:val="336C2B69"/>
    <w:rsid w:val="336F5120"/>
    <w:rsid w:val="337009B5"/>
    <w:rsid w:val="337333AD"/>
    <w:rsid w:val="33767D1F"/>
    <w:rsid w:val="33787717"/>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3BDA"/>
    <w:rsid w:val="33E20DF0"/>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70E63"/>
    <w:rsid w:val="346C0AEA"/>
    <w:rsid w:val="3473748E"/>
    <w:rsid w:val="347F540F"/>
    <w:rsid w:val="34863322"/>
    <w:rsid w:val="34885DB3"/>
    <w:rsid w:val="34897199"/>
    <w:rsid w:val="348F0ED3"/>
    <w:rsid w:val="348F7A0E"/>
    <w:rsid w:val="34943D90"/>
    <w:rsid w:val="34975090"/>
    <w:rsid w:val="349A0B7D"/>
    <w:rsid w:val="34A851E8"/>
    <w:rsid w:val="34A92857"/>
    <w:rsid w:val="34A94ADA"/>
    <w:rsid w:val="34A97BFE"/>
    <w:rsid w:val="34AC7B48"/>
    <w:rsid w:val="34B51A96"/>
    <w:rsid w:val="34BF1CD4"/>
    <w:rsid w:val="34BF2BBB"/>
    <w:rsid w:val="34C27960"/>
    <w:rsid w:val="34C800BD"/>
    <w:rsid w:val="34C936CD"/>
    <w:rsid w:val="34CC1DC7"/>
    <w:rsid w:val="34D47C8A"/>
    <w:rsid w:val="34D874E5"/>
    <w:rsid w:val="34DB0CAC"/>
    <w:rsid w:val="34DD3DF9"/>
    <w:rsid w:val="34E972FC"/>
    <w:rsid w:val="34F62CC4"/>
    <w:rsid w:val="34F83EF3"/>
    <w:rsid w:val="34F953E0"/>
    <w:rsid w:val="34FF2166"/>
    <w:rsid w:val="3503286C"/>
    <w:rsid w:val="3507280B"/>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D2581D"/>
    <w:rsid w:val="35D31DE1"/>
    <w:rsid w:val="35D361F7"/>
    <w:rsid w:val="35D801CA"/>
    <w:rsid w:val="35DD2AEE"/>
    <w:rsid w:val="35E425DA"/>
    <w:rsid w:val="35EA6509"/>
    <w:rsid w:val="35EC2712"/>
    <w:rsid w:val="35ED04DC"/>
    <w:rsid w:val="35F44E5C"/>
    <w:rsid w:val="35F45994"/>
    <w:rsid w:val="35F8217F"/>
    <w:rsid w:val="3602050E"/>
    <w:rsid w:val="36077B5A"/>
    <w:rsid w:val="36101A49"/>
    <w:rsid w:val="361265F3"/>
    <w:rsid w:val="36163688"/>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AA4517"/>
    <w:rsid w:val="36B121C7"/>
    <w:rsid w:val="36B21E43"/>
    <w:rsid w:val="36B2486C"/>
    <w:rsid w:val="36B307B1"/>
    <w:rsid w:val="36BA14F4"/>
    <w:rsid w:val="36C45C2A"/>
    <w:rsid w:val="36C962C2"/>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073A2"/>
    <w:rsid w:val="37446333"/>
    <w:rsid w:val="37446A77"/>
    <w:rsid w:val="374D0B20"/>
    <w:rsid w:val="37505E44"/>
    <w:rsid w:val="37557969"/>
    <w:rsid w:val="375D4473"/>
    <w:rsid w:val="37615F3C"/>
    <w:rsid w:val="376B106B"/>
    <w:rsid w:val="376C6090"/>
    <w:rsid w:val="377963D6"/>
    <w:rsid w:val="377A5D14"/>
    <w:rsid w:val="378075A4"/>
    <w:rsid w:val="3783595B"/>
    <w:rsid w:val="37840F0B"/>
    <w:rsid w:val="378772DD"/>
    <w:rsid w:val="378917C1"/>
    <w:rsid w:val="378A731A"/>
    <w:rsid w:val="378B0AAE"/>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13780"/>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12099"/>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CE2B2B"/>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A3EF8"/>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751B7"/>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915B7E"/>
    <w:rsid w:val="3C922D7A"/>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393726"/>
    <w:rsid w:val="3D47670E"/>
    <w:rsid w:val="3D4A3942"/>
    <w:rsid w:val="3D4D7CF8"/>
    <w:rsid w:val="3D58163A"/>
    <w:rsid w:val="3D5A05E2"/>
    <w:rsid w:val="3D5C63D4"/>
    <w:rsid w:val="3D5E50E6"/>
    <w:rsid w:val="3D5F6029"/>
    <w:rsid w:val="3D611CC7"/>
    <w:rsid w:val="3D6223C0"/>
    <w:rsid w:val="3D641D7A"/>
    <w:rsid w:val="3D6A7D83"/>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4C0D71"/>
    <w:rsid w:val="3F50629E"/>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47DBE"/>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A2749"/>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4749B"/>
    <w:rsid w:val="433C41B8"/>
    <w:rsid w:val="433D2335"/>
    <w:rsid w:val="433F57C3"/>
    <w:rsid w:val="43423065"/>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B0462"/>
    <w:rsid w:val="43BE3F55"/>
    <w:rsid w:val="43C0281C"/>
    <w:rsid w:val="43C02B26"/>
    <w:rsid w:val="43C91C5B"/>
    <w:rsid w:val="43D10A40"/>
    <w:rsid w:val="43D441A9"/>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5004D64"/>
    <w:rsid w:val="450174D5"/>
    <w:rsid w:val="451C5E9C"/>
    <w:rsid w:val="45214561"/>
    <w:rsid w:val="45260A34"/>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02A05"/>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2B0583"/>
    <w:rsid w:val="47333B1B"/>
    <w:rsid w:val="47351654"/>
    <w:rsid w:val="47356D0B"/>
    <w:rsid w:val="4735743C"/>
    <w:rsid w:val="473D0BD8"/>
    <w:rsid w:val="47457188"/>
    <w:rsid w:val="47502F2C"/>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F04BA1"/>
    <w:rsid w:val="48F447F8"/>
    <w:rsid w:val="48F612E3"/>
    <w:rsid w:val="48FE11C0"/>
    <w:rsid w:val="48FE59FA"/>
    <w:rsid w:val="490177EE"/>
    <w:rsid w:val="49046287"/>
    <w:rsid w:val="490517F7"/>
    <w:rsid w:val="49075A63"/>
    <w:rsid w:val="49086CBA"/>
    <w:rsid w:val="490933FA"/>
    <w:rsid w:val="490A4D2F"/>
    <w:rsid w:val="490A64AF"/>
    <w:rsid w:val="490D18E7"/>
    <w:rsid w:val="49111AA9"/>
    <w:rsid w:val="491709CE"/>
    <w:rsid w:val="491C3261"/>
    <w:rsid w:val="491F3980"/>
    <w:rsid w:val="49217522"/>
    <w:rsid w:val="49224F55"/>
    <w:rsid w:val="49241D45"/>
    <w:rsid w:val="4929748F"/>
    <w:rsid w:val="492B2D35"/>
    <w:rsid w:val="492F1F4E"/>
    <w:rsid w:val="4935171C"/>
    <w:rsid w:val="493556E9"/>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66518"/>
    <w:rsid w:val="49BA6924"/>
    <w:rsid w:val="49C20C6C"/>
    <w:rsid w:val="49CE0C89"/>
    <w:rsid w:val="49D033A8"/>
    <w:rsid w:val="49D93C20"/>
    <w:rsid w:val="49DA3FD3"/>
    <w:rsid w:val="49DA7AB7"/>
    <w:rsid w:val="49E028D9"/>
    <w:rsid w:val="49E27959"/>
    <w:rsid w:val="49E353F8"/>
    <w:rsid w:val="49E46DD1"/>
    <w:rsid w:val="49E95933"/>
    <w:rsid w:val="49EC3766"/>
    <w:rsid w:val="49F7729C"/>
    <w:rsid w:val="49FA3B2A"/>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85A47"/>
    <w:rsid w:val="4AAF1B3A"/>
    <w:rsid w:val="4AB01D3D"/>
    <w:rsid w:val="4AB113DF"/>
    <w:rsid w:val="4AB75FB2"/>
    <w:rsid w:val="4ABB3CDE"/>
    <w:rsid w:val="4AC41CC1"/>
    <w:rsid w:val="4AC4256B"/>
    <w:rsid w:val="4AC469D0"/>
    <w:rsid w:val="4AC47154"/>
    <w:rsid w:val="4AC66331"/>
    <w:rsid w:val="4AC860DD"/>
    <w:rsid w:val="4ACF1226"/>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085"/>
    <w:rsid w:val="4D551492"/>
    <w:rsid w:val="4D5646C6"/>
    <w:rsid w:val="4D570519"/>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B19AC"/>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C68A2"/>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5361F4"/>
    <w:rsid w:val="51536D04"/>
    <w:rsid w:val="515529BB"/>
    <w:rsid w:val="515A64E3"/>
    <w:rsid w:val="515C30A6"/>
    <w:rsid w:val="5161698E"/>
    <w:rsid w:val="5163574F"/>
    <w:rsid w:val="51651617"/>
    <w:rsid w:val="5179450A"/>
    <w:rsid w:val="51797588"/>
    <w:rsid w:val="517C0CA0"/>
    <w:rsid w:val="517D17DB"/>
    <w:rsid w:val="517F00BC"/>
    <w:rsid w:val="51835DB6"/>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1862C6"/>
    <w:rsid w:val="541942B6"/>
    <w:rsid w:val="541A3E14"/>
    <w:rsid w:val="541A40BD"/>
    <w:rsid w:val="541D3002"/>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7648"/>
    <w:rsid w:val="5478695B"/>
    <w:rsid w:val="54860559"/>
    <w:rsid w:val="548810E8"/>
    <w:rsid w:val="54906088"/>
    <w:rsid w:val="54907EF0"/>
    <w:rsid w:val="549438A5"/>
    <w:rsid w:val="54955E91"/>
    <w:rsid w:val="549C64AD"/>
    <w:rsid w:val="549C6534"/>
    <w:rsid w:val="54A14490"/>
    <w:rsid w:val="54A153FA"/>
    <w:rsid w:val="54A36C2B"/>
    <w:rsid w:val="54AB29C5"/>
    <w:rsid w:val="54AB36A1"/>
    <w:rsid w:val="54B171C4"/>
    <w:rsid w:val="54B31E75"/>
    <w:rsid w:val="54B61DA8"/>
    <w:rsid w:val="54B62C99"/>
    <w:rsid w:val="54BC1CEB"/>
    <w:rsid w:val="54C84D02"/>
    <w:rsid w:val="54CC175C"/>
    <w:rsid w:val="54CC47C4"/>
    <w:rsid w:val="54CD258C"/>
    <w:rsid w:val="54CE1B9D"/>
    <w:rsid w:val="54D81BD6"/>
    <w:rsid w:val="54DF688B"/>
    <w:rsid w:val="54E85E2E"/>
    <w:rsid w:val="54E95643"/>
    <w:rsid w:val="54EB5E03"/>
    <w:rsid w:val="54ED7E47"/>
    <w:rsid w:val="54F40C17"/>
    <w:rsid w:val="550E6C32"/>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207EA"/>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255E05"/>
    <w:rsid w:val="59267EF0"/>
    <w:rsid w:val="59287A6A"/>
    <w:rsid w:val="592C2EB2"/>
    <w:rsid w:val="592E39AE"/>
    <w:rsid w:val="59376E4C"/>
    <w:rsid w:val="593F73A8"/>
    <w:rsid w:val="59421F7E"/>
    <w:rsid w:val="59424509"/>
    <w:rsid w:val="594935F2"/>
    <w:rsid w:val="594C2750"/>
    <w:rsid w:val="594D49D5"/>
    <w:rsid w:val="59537B91"/>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E2310"/>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A15AB"/>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42D5"/>
    <w:rsid w:val="5B9319B5"/>
    <w:rsid w:val="5B96407F"/>
    <w:rsid w:val="5B975E5B"/>
    <w:rsid w:val="5B9C0984"/>
    <w:rsid w:val="5B9D5FB0"/>
    <w:rsid w:val="5BA036A0"/>
    <w:rsid w:val="5BA65080"/>
    <w:rsid w:val="5BA76A78"/>
    <w:rsid w:val="5BAB7E26"/>
    <w:rsid w:val="5BAE679D"/>
    <w:rsid w:val="5BB029AE"/>
    <w:rsid w:val="5BB214B7"/>
    <w:rsid w:val="5BB424C4"/>
    <w:rsid w:val="5BB576AD"/>
    <w:rsid w:val="5BB6242D"/>
    <w:rsid w:val="5BB73316"/>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3B2DCF"/>
    <w:rsid w:val="5C474C2E"/>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60485"/>
    <w:rsid w:val="5DAE2E8C"/>
    <w:rsid w:val="5DAE7F34"/>
    <w:rsid w:val="5DB42E5D"/>
    <w:rsid w:val="5DB509ED"/>
    <w:rsid w:val="5DB65502"/>
    <w:rsid w:val="5DB906BB"/>
    <w:rsid w:val="5DC41A63"/>
    <w:rsid w:val="5DD70750"/>
    <w:rsid w:val="5DD866E8"/>
    <w:rsid w:val="5DE33590"/>
    <w:rsid w:val="5DE44DF4"/>
    <w:rsid w:val="5DED4540"/>
    <w:rsid w:val="5E00720B"/>
    <w:rsid w:val="5E012896"/>
    <w:rsid w:val="5E0825B2"/>
    <w:rsid w:val="5E0A6049"/>
    <w:rsid w:val="5E110C11"/>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CF732C"/>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CF211B"/>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A5CB1"/>
    <w:rsid w:val="606F545C"/>
    <w:rsid w:val="607034AE"/>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1027740"/>
    <w:rsid w:val="61034098"/>
    <w:rsid w:val="61067A64"/>
    <w:rsid w:val="610C7D1D"/>
    <w:rsid w:val="610F66EC"/>
    <w:rsid w:val="61105E47"/>
    <w:rsid w:val="6112529A"/>
    <w:rsid w:val="611A085E"/>
    <w:rsid w:val="611A7B15"/>
    <w:rsid w:val="611C59F7"/>
    <w:rsid w:val="611F0B09"/>
    <w:rsid w:val="61200AAF"/>
    <w:rsid w:val="612D2321"/>
    <w:rsid w:val="612F769F"/>
    <w:rsid w:val="613964B7"/>
    <w:rsid w:val="613F44DC"/>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0553"/>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24E49"/>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0238"/>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3B1"/>
    <w:rsid w:val="64B8032B"/>
    <w:rsid w:val="64BE5702"/>
    <w:rsid w:val="64C16289"/>
    <w:rsid w:val="64CF05E4"/>
    <w:rsid w:val="64CF1E41"/>
    <w:rsid w:val="64D32645"/>
    <w:rsid w:val="64D40BDA"/>
    <w:rsid w:val="64D93F02"/>
    <w:rsid w:val="64DF1E48"/>
    <w:rsid w:val="64DF440C"/>
    <w:rsid w:val="64E52880"/>
    <w:rsid w:val="64E5543E"/>
    <w:rsid w:val="64E76F6D"/>
    <w:rsid w:val="64EA4517"/>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40FCC"/>
    <w:rsid w:val="68650339"/>
    <w:rsid w:val="68651915"/>
    <w:rsid w:val="68670AE1"/>
    <w:rsid w:val="686A3251"/>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C14B0"/>
    <w:rsid w:val="68BC512A"/>
    <w:rsid w:val="68BF0078"/>
    <w:rsid w:val="68C04067"/>
    <w:rsid w:val="68C20D16"/>
    <w:rsid w:val="68CA4525"/>
    <w:rsid w:val="68D034F0"/>
    <w:rsid w:val="68D94717"/>
    <w:rsid w:val="68DD619B"/>
    <w:rsid w:val="68EC3A15"/>
    <w:rsid w:val="68ED69A7"/>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32FF6"/>
    <w:rsid w:val="6A601C8F"/>
    <w:rsid w:val="6A6A0FDF"/>
    <w:rsid w:val="6A7136BA"/>
    <w:rsid w:val="6A7174A5"/>
    <w:rsid w:val="6A72508F"/>
    <w:rsid w:val="6A732254"/>
    <w:rsid w:val="6A774894"/>
    <w:rsid w:val="6A7B34E6"/>
    <w:rsid w:val="6A7C4E7D"/>
    <w:rsid w:val="6A7E0847"/>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48F8"/>
    <w:rsid w:val="6B846AF2"/>
    <w:rsid w:val="6B95396B"/>
    <w:rsid w:val="6BA345D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3759D"/>
    <w:rsid w:val="6C06150E"/>
    <w:rsid w:val="6C1407B4"/>
    <w:rsid w:val="6C150C0B"/>
    <w:rsid w:val="6C155F31"/>
    <w:rsid w:val="6C206E21"/>
    <w:rsid w:val="6C263A06"/>
    <w:rsid w:val="6C265F77"/>
    <w:rsid w:val="6C336069"/>
    <w:rsid w:val="6C3A624E"/>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3403B"/>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447F07"/>
    <w:rsid w:val="6F4876AF"/>
    <w:rsid w:val="6F4E4A74"/>
    <w:rsid w:val="6F537FC0"/>
    <w:rsid w:val="6F5E3CAA"/>
    <w:rsid w:val="6F607895"/>
    <w:rsid w:val="6F61040C"/>
    <w:rsid w:val="6F6776E1"/>
    <w:rsid w:val="6F702CF5"/>
    <w:rsid w:val="6F714EFF"/>
    <w:rsid w:val="6F7A0C79"/>
    <w:rsid w:val="6F7E1B78"/>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40D5"/>
    <w:rsid w:val="6FDC6A2D"/>
    <w:rsid w:val="6FE53444"/>
    <w:rsid w:val="6FE76FE3"/>
    <w:rsid w:val="6FEE1369"/>
    <w:rsid w:val="6FF1528E"/>
    <w:rsid w:val="6FF561D1"/>
    <w:rsid w:val="6FF6275E"/>
    <w:rsid w:val="6FFB0E00"/>
    <w:rsid w:val="6FFF10F4"/>
    <w:rsid w:val="70005FFB"/>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45BA6"/>
    <w:rsid w:val="70555B90"/>
    <w:rsid w:val="705E76BE"/>
    <w:rsid w:val="70680AC8"/>
    <w:rsid w:val="70684400"/>
    <w:rsid w:val="706D51B8"/>
    <w:rsid w:val="70712877"/>
    <w:rsid w:val="70737F32"/>
    <w:rsid w:val="70767F2C"/>
    <w:rsid w:val="70785A86"/>
    <w:rsid w:val="707C55FA"/>
    <w:rsid w:val="707E62BB"/>
    <w:rsid w:val="70910C43"/>
    <w:rsid w:val="70920AC0"/>
    <w:rsid w:val="709244B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D425E"/>
    <w:rsid w:val="720F633E"/>
    <w:rsid w:val="720F7FD6"/>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27FC"/>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20FD0"/>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F07F1"/>
    <w:rsid w:val="7502618E"/>
    <w:rsid w:val="7507587E"/>
    <w:rsid w:val="750934A8"/>
    <w:rsid w:val="750A15E4"/>
    <w:rsid w:val="750C76FA"/>
    <w:rsid w:val="751C5464"/>
    <w:rsid w:val="751E29FC"/>
    <w:rsid w:val="752B3381"/>
    <w:rsid w:val="75325694"/>
    <w:rsid w:val="7534402F"/>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D1230F"/>
    <w:rsid w:val="75D357A7"/>
    <w:rsid w:val="75DA5FC8"/>
    <w:rsid w:val="75DB08A6"/>
    <w:rsid w:val="75DB5FA1"/>
    <w:rsid w:val="75DB5FA3"/>
    <w:rsid w:val="75E2330A"/>
    <w:rsid w:val="75E7499A"/>
    <w:rsid w:val="75F75D00"/>
    <w:rsid w:val="75F8074C"/>
    <w:rsid w:val="7600209C"/>
    <w:rsid w:val="760049B0"/>
    <w:rsid w:val="760200DC"/>
    <w:rsid w:val="760218FE"/>
    <w:rsid w:val="76070A73"/>
    <w:rsid w:val="761014A5"/>
    <w:rsid w:val="76101CE0"/>
    <w:rsid w:val="76213B4B"/>
    <w:rsid w:val="7623481D"/>
    <w:rsid w:val="76240922"/>
    <w:rsid w:val="76250B12"/>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00A09"/>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26EE3"/>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C7419"/>
    <w:rsid w:val="7A3D7CC0"/>
    <w:rsid w:val="7A4006D3"/>
    <w:rsid w:val="7A4801BB"/>
    <w:rsid w:val="7A485CE1"/>
    <w:rsid w:val="7A491EF3"/>
    <w:rsid w:val="7A4D07BA"/>
    <w:rsid w:val="7A5863D3"/>
    <w:rsid w:val="7A5A36DB"/>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8E41ED"/>
    <w:rsid w:val="7C982736"/>
    <w:rsid w:val="7C990CFA"/>
    <w:rsid w:val="7C9A2FA3"/>
    <w:rsid w:val="7C9E5A24"/>
    <w:rsid w:val="7CA3583F"/>
    <w:rsid w:val="7CA67728"/>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70BA6"/>
    <w:rsid w:val="7D281397"/>
    <w:rsid w:val="7D292A41"/>
    <w:rsid w:val="7D2A5CCB"/>
    <w:rsid w:val="7D3341E7"/>
    <w:rsid w:val="7D377B94"/>
    <w:rsid w:val="7D401CAA"/>
    <w:rsid w:val="7D4E195B"/>
    <w:rsid w:val="7D4F4ABB"/>
    <w:rsid w:val="7D515EFA"/>
    <w:rsid w:val="7D5431B0"/>
    <w:rsid w:val="7D5A6FBE"/>
    <w:rsid w:val="7D5D42EC"/>
    <w:rsid w:val="7D5F4211"/>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013B7"/>
    <w:rsid w:val="7E8D3E75"/>
    <w:rsid w:val="7E8E073B"/>
    <w:rsid w:val="7E9044A6"/>
    <w:rsid w:val="7E922E52"/>
    <w:rsid w:val="7E9C0411"/>
    <w:rsid w:val="7EA10518"/>
    <w:rsid w:val="7EA37537"/>
    <w:rsid w:val="7EA43064"/>
    <w:rsid w:val="7EA45F62"/>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645A4"/>
    <w:rsid w:val="7F8403DB"/>
    <w:rsid w:val="7F8660CD"/>
    <w:rsid w:val="7F8A2E2C"/>
    <w:rsid w:val="7F963419"/>
    <w:rsid w:val="7F98528E"/>
    <w:rsid w:val="7FA069EC"/>
    <w:rsid w:val="7FB351E6"/>
    <w:rsid w:val="7FB422D4"/>
    <w:rsid w:val="7FBD0C23"/>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1549</Words>
  <Characters>7801</Characters>
  <Lines>82</Lines>
  <Paragraphs>23</Paragraphs>
  <TotalTime>0</TotalTime>
  <ScaleCrop>false</ScaleCrop>
  <LinksUpToDate>false</LinksUpToDate>
  <CharactersWithSpaces>9332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2025-02-07T15:36:56Z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C2490444A96640D8B7FA841D62F10BA8</vt:lpwstr>
  </property>
  <property fmtid="{D5CDD505-2E9C-101B-9397-08002B2CF9AE}" pid="4" name="KSOTemplateDocerSaveRecord">
    <vt:lpwstr>eyJoZGlkIjoiNTA2MDIzMjk0NzI5MmEzNWQ4YmNjZGZiMjgzNzc2MDMiLCJ1c2VySWQiOiIxMDQyMjkzMzc0In0=</vt:lpwstr>
  </property>
</Properties>
</file>